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ACJC/1482/2015 vom 3. Juli 2015</w:t>
      </w:r>
    </w:p>
    <w:p>
      <w:r>
        <w:t>GE Cour de justice, 2015-07-03, FR</w:t>
      </w:r>
    </w:p>
    <w:p>
      <w:r>
        <w:rPr>
          <w:b/>
        </w:rPr>
        <w:t xml:space="preserve">Quelle: </w:t>
      </w:r>
      <w:r>
        <w:t>https://mcp.opencaselaw.ch/entscheid/ge_gerichte_ACJC_1482_2015</w:t>
      </w:r>
    </w:p>
    <w:p>
      <w:r>
        <w:t>FR: GE_GERICHTE ACJC/1482/2015 du 3 juillet 2015</w:t>
      </w:r>
    </w:p>
    <w:p>
      <w:r>
        <w:t>IT: GE_GERICHTE ACJC/1482/2015 del 3 luglio 2015</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et selon la forme prescrite par la loi (art. 311 al. 1 CPC) et porte sur des conclusions qui, capitalisées selon l'art. 92 al. 2 CPC, sont supérieures à 10'000 fr. Il est donc recevable.</w:t>
      </w:r>
    </w:p>
    <w:p>
      <w:r>
        <w:rPr>
          <w:b/>
        </w:rPr>
        <w:t>E. 1.2</w:t>
      </w:r>
    </w:p>
    <w:p>
      <w:r>
        <w:t>La Cour revoit la cause avec un plein pouvoir d'examen (art. 310 CPC) et établit les faits d'office (art. 272 CPC).</w:t>
      </w:r>
    </w:p>
    <w:p>
      <w:r>
        <w:t>Compte tenu de la présence d'une enfant mineure, les maximes d'office et inquisitoire illimitée sont applicables (art. 296 CPC).</w:t>
      </w:r>
    </w:p>
    <w:p>
      <w:r>
        <w:t>- 7/10 -</w:t>
      </w:r>
    </w:p>
    <w:p>
      <w:r>
        <w:t>C/22104/2014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w:t>
      </w:r>
    </w:p>
    <w:p>
      <w:r>
        <w:t>Le contrat produit en appel par l'intimée a été conclu avec la crèche de l'enfant le 8 juillet 2015, soit après que la clôture des débats de première instance. Il est ainsi recevable (art. 317 al. 1 CPC), la Cour admettant au demeurant tous les nova dans les procédures matrimoniales impliquant des enfants mineurs (ACJC/267/2014; ACJC/1180/2013; dans ce sens également TREZZINI, in Commentario al Codice di diritto processuale civile svizzero (CPC), COCCHI/TREZZINI/BERNASCONI [éd.], 2011, p. 1394; TAPPY, Les voies de droit du nouveau Code de procédure civile, in JdT 2010 III p. 115 ss, 139).</w:t>
      </w:r>
    </w:p>
    <w:p>
      <w:r>
        <w:rPr>
          <w:b/>
        </w:rPr>
        <w:t>E. 3</w:t>
      </w:r>
    </w:p>
    <w:p>
      <w:r>
        <w:t>L'appel porte sur le montant de la contribution à charge de l'appelant pour l'entretien de sa fille.</w:t>
      </w:r>
    </w:p>
    <w:p>
      <w:r>
        <w:rPr>
          <w:b/>
        </w:rPr>
        <w:t>E. 3.1</w:t>
      </w:r>
    </w:p>
    <w:p>
      <w:r>
        <w:t>Si la suspension de la vie commune est fondée, le juge ordonne notamment les mesures nécessaires pour les enfants mineurs d'après les dispositions sur les effets de la filiation (art. 176 al. 3 CC).</w:t>
      </w:r>
    </w:p>
    <w:p>
      <w:r>
        <w:rPr>
          <w:b/>
        </w:rPr>
        <w:t>E. 3.1.1</w:t>
      </w:r>
    </w:p>
    <w:p>
      <w:r>
        <w:t>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123 III 1 consid. 3b/bb et consid. 5). La quotité de la contribution dépend également des ressources financières du parent qui a obtenu la garde (arrêt du Tribunal fédéral 5A_62/2007 du 24 août 2007 consid. 6.1). La loi n'impose pas de méthode de calcul pour chiffrer la contribution alimentaire (ATF 128 III 411 consid. 3.2.2; arrêt du Tribunal fédéral 5A_96/2012 du 21 juin 2012 consid. 3.1). Le juge dispose à cet égard d'un large pouvoir d'appréciation et prend sa décision en application des règles du droit et de l'équité (art. 4 CC) (ATF 135 III 59 consid. 4.4; 127 III 136 consid. 3a).</w:t>
      </w:r>
    </w:p>
    <w:p>
      <w:r>
        <w:t>- 8/10 -</w:t>
      </w:r>
    </w:p>
    <w:p>
      <w:r>
        <w:t>C/22104/2014 La méthode abstraite dite "des pourcentages",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arrêt du Tribunal fédéral 5A_229/2013 du 25 septembre 2013 consid. 5.2).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w:t>
      </w:r>
    </w:p>
    <w:p>
      <w:r>
        <w:rPr>
          <w:b/>
        </w:rPr>
        <w:t>E. 3.2</w:t>
      </w:r>
    </w:p>
    <w:p>
      <w:r>
        <w:t>En l'espèce, lors du prononcé des mesures protectrices de l'union conjugale en 2014, l'enfant du couple était gardée durant la semaine par sa grand-mère maternelle. Dans sa requête en modification desdites mesures, l'intimée a expliqué avoir dû réduire son temps de travail pour s'occuper davantage de l'enfant, dès lors que sa mère n'était plus en mesure de l'assister, comme par le passé, dans la prise en charge de celle-ci. Elle a ainsi réduit son taux d'activité à 80% et placé l'enfant en crèche quatre jours par semaine. Dans ces circonstances, on ne saurait suivre le Tribunal lorsqu'il retient que la réduction du taux d'activité de l'épouse résulte d'un pur choix de convenance, ce d'autant moins que cette réduction du temps de travail profite au bon développement de l'enfant. Par ailleurs, le salaire mensuel actuel de l'épouse s'élève à 6'850 fr. nets. Les revenus des parties, totalisant 13'620 fr., continuent à couvrir largement le minimum vital élargi de la famille, estimé à 8'240 fr., impôts non compris, de sorte qu'il ne se justifie pas d'exiger de l'intimée, qui doit désormais assumer sans l'aide de sa mère la garde de l'enfant, de réaliser pleinement son potentiel de gain. Il n'y a donc pas lieu de retenir un revenu hypothétique à son encontre. Bien que non contestées, les estimations d'impôts retenues par le Tribunal dans les budgets des parties ne seront pas admises, car ces montants, de plus de 1'300 fr. chacun, apparaissent excessifs. L'évaluation des charges fiscales des parties ne sera par ailleurs pas établie sur la base des pièces produites, puisque celles-ci ne tiennent compte ni de la baisse de revenus de l'intimée, ni des frais de garde de l'enfant ou encore du paiement d'une contribution à l'entretien de celle-ci par l'appelant.</w:t>
      </w:r>
    </w:p>
    <w:p>
      <w:r>
        <w:t>- 9/10 -</w:t>
      </w:r>
    </w:p>
    <w:p>
      <w:r>
        <w:t>C/22104/2014 Selon la calculette mise à disposition par l'administration fiscale cantonale (www.ge.ch), les impôts ICC et IFD de l'intimée peuvent être estimés à environ 750 fr. par mois, si l'on prend en considération la perception d'une contribution à l'entretien de l'enfant de l'ordre de 1'000 fr. par mois. Ceux de l'appelant sont d'environ 950 fr. par mois. Après déduction de leurs charges respectives, l'épouse dispose d'un solde de 2'790 fr. (6'850 fr. [revenu] – 3'310 fr. [charges non contestées] – 750 fr. [impôts]), alors que le disponible de son mari s'élève à 2'170 fr. (6'770 fr. [revenu] – 3'650 fr. [charges non contestées] – 950 fr. [impôts]). Les besoins admissibles de l'enfant, après déduction des allocations familiales, sont de 1'280 fr. par mois. Certes, l'intimée bénéficie d'un solde plus important que l'appelant. Toutefois, elle pourvoit de manière prépondérante à l'entretien en nature de l'enfant, âgée de trois ans, tout en continuant à exercer un emploi à 80%. Contrairement à ce que semble soutenir l'appelant, si l'enfant est placée en crèche quatre jours par semaine, les soins en nature et l'éducation fournis par l'intimée, qui en a la garde, restent néanmoins importants. Ces éléments commandent par conséquent de mettre à la charge de l'appelant l'essentiel du coût financier de C______. On ne saurait au surplus suivre le raisonnement de l'époux lorsqu'il suggère de retenir en défaveur de l'intimée l'opposition de celle-ci à l'élargissement de son droit de visite à tous les mercredis, dès lors qu'il n'a pas appelé du jugement entrepris sur ce point et que cette opposition n'apparaît ni abusive, ni chicanière ou encore infondée. En outre, au vu des soldes disponibles des parties, il ne se justifie pas de limiter la contribution aux besoins de stricte nécessité de l'enfant. Dans ces conditions, un montant mensuel de 1'050 fr., tel que fixé par le premier juge, n'apparaît pas excessif. Il correspond à environ 15% du revenu du recourant et est approprié à la situation financière des parties. L'appel sera donc rejeté et le chiffre 4 du dispositif du jugement entrepris confirmé.</w:t>
      </w:r>
    </w:p>
    <w:p>
      <w:r>
        <w:rPr>
          <w:b/>
        </w:rPr>
        <w:t>E. 4</w:t>
      </w:r>
    </w:p>
    <w:p>
      <w:r>
        <w:t>Les frais judiciaires d'appel seront mis à la charge de l'appelant, qui succombe (art. 95 et 106 al. 1 CPC). Ceux-ci seront arrêtés à 800 fr. et compensés avec l'avance de frais fournie par l'appelant, qui reste acquise à l'Etat de Genève (art. 111 al. 1 CPC; art. 31 et 37 du Règlement fixant le tarif des frais en matière civile). Pour des motifs d'équité liés à la nature du litige et à la situation financière des époux, les parties conserveront à leur charge leur propres dépens (art 107 al. 1 let. c CPC). * * * * *</w:t>
      </w:r>
    </w:p>
    <w:p>
      <w:r>
        <w:t>- 10/10 -</w:t>
      </w:r>
    </w:p>
    <w:p>
      <w:r>
        <w:t>C/22104/2014 PAR CES MOTIFS, La Chambre civile : A la forme : Déclare recevable l'appel interjeté par A______ contre le chiffre 4 du dispositif du jugement JTPI/7957/2015 rendu le 3 juillet 2015 par le Tribunal de première instance dans la cause C/22104/2014-8. Au fond : Confirme le chiffre 4 du dispositif du jugement entrepris. Déboute les parties de toutes autres conclusions. Sur les frais : Arrête les frais judiciaires de l'appel à 800 fr., les met à la charge de A______ et dit qu'ils sont entièrement compensés avec l'avance de frais effectuée, laquelle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