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ACJC/1481/2015 vom 24. August 2015</w:t>
      </w:r>
    </w:p>
    <w:p>
      <w:r>
        <w:t>GE Cour de justice, 2015-08-24, FR</w:t>
      </w:r>
    </w:p>
    <w:p>
      <w:r>
        <w:rPr>
          <w:b/>
        </w:rPr>
        <w:t xml:space="preserve">Quelle: </w:t>
      </w:r>
      <w:r>
        <w:t>https://mcp.opencaselaw.ch/entscheid/ge_gerichte_ACJC_1481_2015</w:t>
      </w:r>
    </w:p>
    <w:p>
      <w:r>
        <w:t>FR: GE_GERICHTE ACJC/1481/2015 du 24 août 2015</w:t>
      </w:r>
    </w:p>
    <w:p>
      <w:r>
        <w:t>IT: GE_GERICHTE ACJC/1481/2015 del 24 agosto 2015</w:t>
      </w:r>
    </w:p>
    <w:p>
      <w:pPr>
        <w:pStyle w:val="Heading2"/>
      </w:pPr>
      <w:r>
        <w:t>Erwägungen</w:t>
      </w:r>
    </w:p>
    <w:p>
      <w:r>
        <w:rPr>
          <w:b/>
        </w:rPr>
        <w:t>E. 1.1</w:t>
      </w:r>
    </w:p>
    <w:p>
      <w:r>
        <w:t>Selon l'art. 103 CPC, les décisions relatives aux avances de frais et aux sûretés peuvent faire l'objet d'un recours. Interjeté dans le délai de dix jours et selon la forme prévus par la loi, le recours est recevable (art. 321 CPC).</w:t>
      </w:r>
    </w:p>
    <w:p>
      <w:r>
        <w:t>- 5/11 -</w:t>
      </w:r>
    </w:p>
    <w:p>
      <w:r>
        <w:t>C/25481/2012</w:t>
      </w:r>
    </w:p>
    <w:p>
      <w:r>
        <w:rPr>
          <w:b/>
        </w:rPr>
        <w:t>E. 1.2</w:t>
      </w:r>
    </w:p>
    <w:p>
      <w:r>
        <w:t>La cognition de la Cour est limitée à la constatation manifestement inexacte des faits et à la violation du droit (art. 320 CPC).</w:t>
      </w:r>
    </w:p>
    <w:p>
      <w:r>
        <w:rPr>
          <w:b/>
        </w:rPr>
        <w:t>E. 2.1</w:t>
      </w:r>
    </w:p>
    <w:p>
      <w:r>
        <w:t>Dans le cadre du recours, les conclusions, les allégations de faits et les preuves nouvelles sont irrecevables (art. 326 al. 1 CPC). Les faits notoires peuvent être librement pris en compte par le juge (ATF 138 II 557 consid. 6.2). Pour être notoire, un renseignement ne doit pas être constamment présent à l'esprit; il suffit qu'il puisse être contrôlé par des publications accessibles à chacun (ATF 135 III 88 consid. 4.1).</w:t>
      </w:r>
    </w:p>
    <w:p>
      <w:r>
        <w:rPr>
          <w:b/>
        </w:rPr>
        <w:t>E. 2.2</w:t>
      </w:r>
    </w:p>
    <w:p>
      <w:r>
        <w:t>Contrairement à ce que font valoir les intimés, le jugement non motivé du Tribunal de police du 21 août 2015 n'est pas un fait notoire, dans la mesure où il n'est pas disponible sur Internet ou par toute autre publication accessible à chacun. La pièce nouvelle produite par les intimés est par conséquent irrecevable, de même que les allégations de faits y relatives. En tout état de cause, cette pièce est dénuée de pertinence pour l'issue du litige.</w:t>
      </w:r>
    </w:p>
    <w:p>
      <w:r>
        <w:rPr>
          <w:b/>
        </w:rPr>
        <w:t>E. 3.1</w:t>
      </w:r>
    </w:p>
    <w:p>
      <w:r>
        <w:t>Selon l'article 99 CPC, le demandeur doit, sur requête du défendeur, fournir des sûretés en garantie des dépens lorsqu'il paraît insolvable, notamment en raison d'une mise en faillite, d'une procédure concordataire en cours ou de la délivrance d'acte de défaut de biens (let. b), ou lorsqu'il est débiteur des frais d'une procédure antérieure (let. c), ou lorsque d'autres raisons font apparaître un risque considérable que les dépens ne soient pas versés (let. d). 3.2.1 Il y a insolvabilité au sens de l'art. 99 al. 1 let. b CPC lorsque la partie concernée ne dispose pas des liquidités nécessaires pour faire face à ses dettes exigibles ni du crédit lui permettant de se procurer les moyens nécessaires (ATF 111 II 206 consid. 1). La vraisemblance de l'insolvabilité suffit et la preuve peut être rapportée par indices (TAPPY, Code de procédure civile commenté, n. 29, ad art. 99 CPC). 3.2.2 La let. c de l'article 99 CPC vise les frais de justice ou les dépens; peu importe qu'il s'agisse d'une procédure pénale, administrative ou civile, pourvu que la décision soit entrée en force. Il faut que les frais du procès soient exigibles et n'aient pas été réglés dans le délai fixé par la facture. Les motifs pour lesquels la facture est en souffrance sont sans importance. Peu importe que les frais de procédure exigibles soient dus au défendeur ou à des tiers (RUEGG, Basler Kommentar, Schweizerische Zivilprozessordnung, 2013, n. 16, ad art. 99 CPC; TAPPY, op. cit., n. 34 à 36, ad art. 99 CPC). 3.2.3 Des indices de difficultés financières insuffisants pour que le demandeur paraisse insolvable au sens de l'art. 99 al. 1 let. b CPC pourront parfois remplir les</w:t>
      </w:r>
    </w:p>
    <w:p>
      <w:r>
        <w:t>- 6/11 -</w:t>
      </w:r>
    </w:p>
    <w:p>
      <w:r>
        <w:t>C/25481/2012 conditions de la let. d. Tel peut par exemple être le cas si une partie fait l'objet de multiples commandements de payer pour des causes diverses, si elle a eu besoin d'un sursis ou d'une remise concernant les frais d'une autre procédure ou si elle fait l'objet de saisies de salaire en cours. Dans le cadre d'une action en libération de dette notamment, laquelle est fréquemment intentée par un mauvais payeur cherchant à gagner du temps, les indices précités revêtiront un poids particulier (TAPPY, op. cit., n. 32 et 39, ad art. 99 CPC). L'existence du risque considérable de non-paiement des dépens au sens de l'art. 99 al. 1 let. d CPC est laissée à l'appréciation du juge (arrêt du Tribunal fédéral 5A_221/2014 du 10 septembre 2014 consid. 3).</w:t>
      </w:r>
    </w:p>
    <w:p>
      <w:r>
        <w:rPr>
          <w:b/>
        </w:rPr>
        <w:t>E. 3.3</w:t>
      </w:r>
    </w:p>
    <w:p>
      <w:r>
        <w:t>Le Code de procédure civile ne spécifie pas à quel moment la partie défenderesse doit déposer sa requête de sûretés. Comme les sûretés ne peuvent en principe être accordées que pour les opérations futures, et que la partie défenderesse veut obtenir des sûretés pour l'ensemble de ses frais, une telle requête est possible très tôt dans la procédure. Idéalement, elle devrait intervenir après fixation du délai pour répondre selon l'art. 222 al. 1 CPC. Si la cause de sûretés ne se présente qu'en cours de procédure, les sûretés ne pourront être requises que pour les opérations non encore effectuées (BAKER &amp; MCKENZIE, Schweizerische Zivilprozessordnung (ZPO), 2010, n. 6, ad art. 99 CPC). Selon TAPPY, dans la mesure où la loi ne prévoit pas de déchéance du droit de requérir des sûretés dans l'hypothèse où la demande y relative ne serait pas formée d'entrée de cause, celle-ci peut être faite à tout moment en cours de procédure (TAPPY, op. cit., n. 32 et 39, ad art. 99 CPC).</w:t>
      </w:r>
    </w:p>
    <w:p>
      <w:r>
        <w:rPr>
          <w:b/>
        </w:rPr>
        <w:t>E. 3.4</w:t>
      </w:r>
    </w:p>
    <w:p>
      <w:r>
        <w:t>Les consorts nécessaires ne sont tenus de fournir des sûretés que si l'une des conditions prévue par l'art. 99 al. 1 CPC est réalisée pour chacun d'eux. A contrario, en cas de consorité simple, chaque consort à l'égard duquel une des conditions de l'art. 99 al. 1 CPC est réalisée peut se voir astreint individuellement à fournir des sûretés, sous peine de voir ses conclusions déclarées irrecevables indépendamment de celles des autres (TAPPY, op. cit., n. 42, ad art. 99 CPC). Les débiteurs solidaires sont des consorts simples au sens de l'art. 71 CPC et non des consorts nécessaires au sens de l'art. 70 CPC (JEANDIN, CPC commenté, 2011, n. 6, ad art. 70 CPC).</w:t>
      </w:r>
    </w:p>
    <w:p>
      <w:r>
        <w:rPr>
          <w:b/>
        </w:rPr>
        <w:t>E. 3.5</w:t>
      </w:r>
    </w:p>
    <w:p>
      <w:r>
        <w:t>En l'espèce, il n'y a pas lieu de retenir, contrairement à ce que soutiennent les intimés, que la demande de sûretés est tardive, au motif qu'elle n'a été formée qu'en cours de procédure. En effet, la loi ne prévoit pas que le demandeur est déchu de son droit de demander des sûretés s'il ne l'exerce pas d'entrée de cause.</w:t>
      </w:r>
    </w:p>
    <w:p>
      <w:r>
        <w:t>- 7/11 -</w:t>
      </w:r>
    </w:p>
    <w:p>
      <w:r>
        <w:t>C/25481/2012 Sur le fond, la Cour constate que l'hypothèse visée par l'art. 99 let. c CPC est réalisé à l'égard de B_____ puisque celui-ci n'a pas versé en temps utile les dépens qu'il a été condamné à payer par arrêt de la Chambre pénale du 10 juin 2014 en faveur de la mère de son épouse. Il ressort en outre des différents éléments du dossier que B_____ est vraisemblablement insolvable au sens de l'art. 99 let. b CPC. Plusieurs indices permettent en effet de retenir qu'il ne dispose pas des liquidités nécessaires pour faire face à ses dettes exigibles, ni du crédit lui permettant de se procurer les moyens nécessaires. Il fait tout d'abord l'objet d'une saisie de salaire. En outre, abstraction faite de la créance du recourant, il faisait l'objet au 15 avril 2015 de dix poursuites, pour un total de 91'178 fr. 55, ce qui est un montant élevé au regard notamment de la quotité saisissable, qui a été calculée par l'Office des poursuites à 2'360 fr. par mois. Les intimés allèguent que certaines poursuites seraient périmées; ils n'indiquent cependant pas lesquelles, ni ne fournissent de pièces à l'appui de leurs affirmations. Le fait que la procédure en cours soit une action en libération de dette, constitue un indice supplémentaire en faveur de l'insolvabilité de l'intimé. Celui-ci n'allègue pas avoir de fortune, hormis la villa occupée par les époux, estimée fiscalement à 2'933'620 fr. Cet immeuble est cependant grevé de cédules hypothécaires à hauteur de 3'400'000 fr. et les prêts hypothécaires ont été dénoncés au remboursement. Les intimés ne fournissent aucun élément de preuve à l'appui de leur allégation selon laquelle la valeur réelle de l'immeuble serait largement supérieure à sa valeur fiscale. Au regard de ces éléments, la Cour retiendra que B_____ est insolvable (art. 99 al. 1 let. b CP), qu'il est débiteur à l'égard de la mère du recourant de frais d'une procédure antérieure (art. 99 al. 1 let. c CPC), ce qui permet de retenir qu'il existe un risque considérable que les dépens de la procédure ne soient pas versés au cas où il succomberait (art. 99 al. 1 let. d CPC). Ce qui précède est également valable en ce qui concerne C_____. En effet, celle- ci n'allègue pas avoir de revenu propre ni de fortune, de sorte qu'elle est entièrement à charge de son époux. Sa situation financière est par conséquent identique à la sienne. Par ailleurs, la requête de sûretés ne saurait être considérée comme manifestement abusive comme le soutiennent les intimés. L'insolvabilité de ces derniers ne résulte en particulier pas de la poursuite engagée par le recourant puisqu'il n'a pas été tenu compte de cette poursuite pour apprécier leur situation financière. Le fait</w:t>
      </w:r>
    </w:p>
    <w:p>
      <w:r>
        <w:t>- 8/11 -</w:t>
      </w:r>
    </w:p>
    <w:p>
      <w:r>
        <w:t>C/25481/2012 que les crédits hypothécaires des intimés aient été dénoncés à la suite de la saisie provisoire de leur villa est quant à lui dénué de pertinence, dans la mesure notamment où aucune des poursuites pendantes au 15 avril 2015 n'émane de créanciers hypothécaires. La requête du recourant tendant au versement de sûretés doit par conséquent être admise. Il convient encore de déterminer le montant de ces sûretés.</w:t>
      </w:r>
    </w:p>
    <w:p>
      <w:r>
        <w:rPr>
          <w:b/>
        </w:rPr>
        <w:t>E. 4</w:t>
      </w:r>
    </w:p>
    <w:p>
      <w:r>
        <w:t>Le recourant conclut à ce que celles-ci soient fixées à 40'000 fr., montant considéré comme excessif par les intimés.</w:t>
      </w:r>
    </w:p>
    <w:p>
      <w:r>
        <w:rPr>
          <w:b/>
        </w:rPr>
        <w:t>E. 4.1</w:t>
      </w:r>
    </w:p>
    <w:p>
      <w:r>
        <w:t>Les sûretés doivent en principe couvrir les dépens présumés que le demandeur aurait à verser au défendeur en cas de perte totale du procès. Ces dépens devront être estimés sur la base du tarif cantonal et de l'expérience du juge (TAPPY, op. cit., n. 7, ad art. 100 CPC). Les dépens comprennent les débours nécessaires et le défraiement d'un représentant professionnel (art. 95 al. 3 let. a et b CPC). Le défraiement d'un représentant professionnel est, en règle générale, proportionnel à la valeur litigieuse. Il est fixé d'après l'importance de la cause, ses difficultés, l'ampleur du travail et le temps employé (art. 20 al. 1 LaCC et art. 84 RTFMC). La juridiction fixe les dépens d'après le dossier en chiffres ronds, incluant la taxe sur la valeur ajoutée (art. 26 al. 1 LaCC).</w:t>
      </w:r>
    </w:p>
    <w:p>
      <w:r>
        <w:rPr>
          <w:b/>
        </w:rPr>
        <w:t>E. 4.2</w:t>
      </w:r>
    </w:p>
    <w:p>
      <w:r>
        <w:t>Selon la doctrine largement majoritaire, les sûretés ne doivent en principe couvrir que les frais futurs ; certains auteurs réservent une exception lorsque le motif de constituer des sûretés surgit en cours de procédure. D'autres estiment que les sûretés couvrent la totalité des dépens que l'instance saisie pourrait devoir allouer, sans égard au moment où la requête a été déposée, et ce même si le requérant a tardé à agir. Le Tribunal fédéral n'a pas tranché cette question (arrêts du Tribunal fédéral 4A_26/2013 du 5 septembre 2013 consid. 2.2; 4A_46/2015 du 27 mars 2015 consid. 3).</w:t>
      </w:r>
    </w:p>
    <w:p>
      <w:r>
        <w:rPr>
          <w:b/>
        </w:rPr>
        <w:t>E. 4.3</w:t>
      </w:r>
    </w:p>
    <w:p>
      <w:r>
        <w:t>En l'espèce, au regard de la valeur litigieuse de 1'800'000 fr., le montant de 40'000 fr. requis par le recourant correspond aux dépens susceptibles d'être alloués à l'issue de la procédure en application de l'art. 85 RTFMC. Il convient cependant de tenir compte du fait qu'au moment où la requête de sûretés a été formée, la cause était en cours d'instruction depuis environ deux ans et demi et que les enquêtes touchaient à leur fin. Il n'y a pas de motif de s'écarter en l'espèce de l'avis de la doctrine majoritaire, selon lequel les sûretés ne peuvent couvrir que les frais futurs. Cela est d'autant</w:t>
      </w:r>
    </w:p>
    <w:p>
      <w:r>
        <w:t>- 9/11 -</w:t>
      </w:r>
    </w:p>
    <w:p>
      <w:r>
        <w:t>C/25481/2012 plus vrai in casu que les difficultés financières des intimés ne sont pas survenues tout récemment, puisque les poursuites les plus anciennes à leur encontre - sans tenir compte de la poursuite du recourant - datent de 2013. Le montant de 40'000 fr. précité doit par conséquent être réduit de moitié pour tenir compte de l'avancement de l'instruction de la cause. Les sûretés seront par conséquent fixées à 20'000 fr.</w:t>
      </w:r>
    </w:p>
    <w:p>
      <w:r>
        <w:rPr>
          <w:b/>
        </w:rPr>
        <w:t>E. 5</w:t>
      </w:r>
    </w:p>
    <w:p>
      <w:r>
        <w:t>L'ordonnance querellée sera dès lors annulée et la cause renvoyée au Tribunal pour qu'il impartisse aux intimés, conformément à l'art. 101 CPC, un délai pour fournir ces sûretés, étant précisé que si celles-ci ne sont pas fournie à l'échéance d'un délai supplémentaire, l'action en libération de dette devra être déclarée irrecevable (art. 59 al. 2 let. f CPC).</w:t>
      </w:r>
    </w:p>
    <w:p>
      <w:r>
        <w:t>Ces sûretés devront être fournies en espèces ou sous forme de garantie d'une banque établie en Suisse ou d'une société d'assurance autorisée à exercer en Suisse (art. 100 al. 1 CPC). La garantie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op. cit., n. 4 ad art. 100 CPC).</w:t>
      </w:r>
    </w:p>
    <w:p>
      <w:r>
        <w:rPr>
          <w:b/>
        </w:rPr>
        <w:t>E. 6</w:t>
      </w:r>
    </w:p>
    <w:p>
      <w:r>
        <w:t>Les intimés, qui succombent, seront condamnés aux frais du recours conformément à l'art. 106 al. 1 CPC. Les frais judiciaires seront arrêtés à 960 fr. (art. 26 et 41 RTFMC) et compensés avec l'avance fournie par le recourant qui restera acquise à l'Etat de Genève, les intimés étant condamnés à verser ce montant au recourant. Ils devront lui payer en outre 1'000 fr., débours et TVA compris, au titre de dépens du recours, étant précisé que le montant ressortant du tarif doit être réduit en application de l'art. 23 al. 1 LaCC pour tenir compte du travail effectif nécessité in casu au regard de l'ampleur et la complexité de la cause (art. 84, 85, 88, 90 RTFMC). * * * * *</w:t>
      </w:r>
    </w:p>
    <w:p>
      <w:r>
        <w:t>- 10/11 -</w:t>
      </w:r>
    </w:p>
    <w:p>
      <w:r>
        <w:t>C/25481/2012 PAR CES MOTIFS, La Chambre civile : A la forme : Déclare recevable le recours interjeté par A_____ contre l'ordonnance OTPI/501/2015 rendue le 24 août 2015 par le Tribunal de première instance dans la cause C/25481/2012-11. Au fond : L'admet. Annule l'ordonnance précitée et, cela fait, statuant à nouveau : Condamne conjointement et solidairement B_____ et C_____ à verser aux Services financiers du Pouvoir judiciaire, à titre de sûretés en garantie des dépens, la somme de 20'000 fr. en espèces ou sous forme de garantie d'une banque établie en Suisse ou d'une société d'assurance autorisée à y exercer. Renvoie la cause au Tribunal de première instance afin qu'il impartisse aux précités un délai pour la fourniture des sûretés. Déboute les parties de toute autre conclusion. Sur les frais : Arrête à *950 fr. les frais judiciaires du recours et les compense avec l'avance versée par A_____ qui reste acquise à l'Etat de Genève. Condamne solidairement B_____ et C_____ à verser à A_____ *950 fr. Les condamne en outre solidairement à lui verser 1'000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*960 Rectification erreur matérielle le 4.1.2016 (art. 334 CPC).</w:t>
      </w:r>
    </w:p>
    <w:p>
      <w:r>
        <w:t>- 11/11 -</w:t>
      </w:r>
    </w:p>
    <w:p>
      <w:r>
        <w:t>C/25481/2012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