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ACJC/1478/2017 vom 15. März 2017</w:t>
      </w:r>
    </w:p>
    <w:p>
      <w:r>
        <w:t>GE Cour de justice, 2017-03-15, FR</w:t>
      </w:r>
    </w:p>
    <w:p>
      <w:r>
        <w:rPr>
          <w:b/>
        </w:rPr>
        <w:t xml:space="preserve">Quelle: </w:t>
      </w:r>
      <w:r>
        <w:t>https://mcp.opencaselaw.ch/entscheid/ge_gerichte_ACJC_1478_2017</w:t>
      </w:r>
    </w:p>
    <w:p>
      <w:r>
        <w:t>FR: GE_GERICHTE ACJC/1478/2017 du 15 mars 2017</w:t>
      </w:r>
    </w:p>
    <w:p>
      <w:r>
        <w:t>IT: GE_GERICHTE ACJC/1478/2017 del 15 marzo 2017</w:t>
      </w:r>
    </w:p>
    <w:p>
      <w:pPr>
        <w:pStyle w:val="Heading2"/>
      </w:pPr>
      <w:r>
        <w:t>Erwägungen</w:t>
      </w:r>
    </w:p>
    <w:p>
      <w:r>
        <w:rPr>
          <w:b/>
        </w:rPr>
        <w:t>E. 10</w:t>
      </w:r>
    </w:p>
    <w:p>
      <w:r>
        <w:t>janvier 2016. Si tel avait été le cas ou si la demande lui avait été faite par téléphone, il y aurait bien évidemment été donné suite puisqu'il existait un système efficace de consultation des pièces. La représentante de la régie a confirmé avoir renvoyé la mise en demeure et le congé par plis simples, précisant qu'il s'agissait d'un procédé habituel lorsque des recommandés revenaient en retour. Elle a précisé, en réponse à la locataire qui se prétendait victime d'un acharnement à son encontre, que cette dernière n'était pas une locataire exemplaire et qu'il y avait eu plusieurs plaintes contre elle, qui lui avaient, pour certaines, été relayées.</w:t>
      </w:r>
    </w:p>
    <w:p>
      <w:r>
        <w:t>Le Tribunal a ensuite ouvert en présence des parties les courriers recommandés revenus en retour et produits par la bailleresse, lesquels correspondaient à ce qui était indiqué sur le bordereau.</w:t>
      </w:r>
    </w:p>
    <w:p>
      <w:r>
        <w:t>- 8/15 -</w:t>
      </w:r>
    </w:p>
    <w:p>
      <w:r>
        <w:t>C/15503/2016</w:t>
      </w:r>
    </w:p>
    <w:p>
      <w:r>
        <w:t>g. En date du 1er février 2017, le conseil de la locataire a fait parvenir au Tribunal un chargé de pièces complémentaires comprenant divers courriers à la régie en réponse aux plaintes dont sa mandante avait fait l'objet.</w:t>
      </w:r>
    </w:p>
    <w:p>
      <w:r>
        <w:t>h. Par plaidoiries finales du 22 février 2017, les parties ont persisté dans leurs conclusions, la locataire transmettant au Tribunal les décomptes de chauffage et frais accessoires pour la période du 1er mai 2014 au 30 avril 2015 concernant l'immeuble 4______, ainsi qu'une liasse de pièces justificatives pour la même période, précisant que ces documents étaient inutilisables dans la mesure où ils concernaient les numéros 1______ à 6______ et qu'il n'existait aucun tableau récapitulatif.</w:t>
      </w:r>
    </w:p>
    <w:p>
      <w:r>
        <w:t>La cause a été gardée à juger à réception de ces écritures. E. Dans la décision querellée, les premiers juges ont d'abord retenu, s'agissant de la recevabilité de la demande en évacuation, que G______ disposait de la signature individuelle au moment de la signature de la procuration le 1er juillet 2016. En tout état, une nouvelle procuration comportant deux signatures avait été donnée le 2 décembre 2016 par B______ à son conseil, ratifiant la première. Sur le fond, les conditions formelles de l'art. 257d CO étaient réalisées, A______ devant s'attendre à recevoir une mise en demeure puisqu'elle n'avait pas payé les frais accessoires dans le délai fixé par courrier du 13 novembre 2015 qu'elle admettait avoir reçu. Le décompte remis à la locataire était suffisamment détaillé au sens de l'art. 8 OBLF, de sorte que la bailleresse n'avait pas l'obligation de mentionner que la locataire pouvait exiger un décompte détaillé. Le lieu de consultation des pièces à Zurich n'était pas contraire à la loi, ni le délai de trente jours pour ce faire, puisqu'il n'était assorti d'aucune déchéance du droit de contester le décompte. La locataire n'avait sollicité de renseignements complémentaires ni à l'occasion du premier décompte, ni du second corrigé. Elle avait attendu le 10 janvier 2016, soit après l'échéance du délai de paiement. Au moment de la mise en demeure, le montant réclamé était exigible. Les résiliations n'avaient pas été contestées dans le délai de trente jours de l'art. 273 CO, de sorte que leur annulation ne pouvait pas être demandée en application des art. 271 et 271a CO.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w:t>
      </w:r>
    </w:p>
    <w:p>
      <w:r>
        <w:t>- 9/15 -</w:t>
      </w:r>
    </w:p>
    <w:p>
      <w:r>
        <w:t>C/15503/2016 4A_72/2007 du 22 août 2007 consid. 2;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w:t>
      </w:r>
    </w:p>
    <w:p>
      <w:r>
        <w:t>1.2 En l'espèce, la valeur litigieuse est largement supérieure à 10'000 fr., de sorte que la voie de l'appel est ouverte.</w:t>
      </w:r>
    </w:p>
    <w:p>
      <w:r>
        <w:t>1.3 Selon l'art. 311 al. 1 CPC, l'appel doit être écrit et motivé et introduit auprès de l'instance d'appel dans les trente jours dès la notification de la décision entreprise.</w:t>
      </w:r>
    </w:p>
    <w:p>
      <w:r>
        <w:t>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w:t>
      </w:r>
    </w:p>
    <w:p>
      <w:r>
        <w:t>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4A_97/2014 du 26 juin 2014 consid. 3.3; 5A_438/2012 du 27 août 2012 consid. 2.2).</w:t>
      </w:r>
    </w:p>
    <w:p>
      <w:r>
        <w:t>- 10/15 -</w:t>
      </w:r>
    </w:p>
    <w:p>
      <w:r>
        <w:t>C/15503/2016</w:t>
      </w:r>
    </w:p>
    <w:p>
      <w:r>
        <w:t>Dans les causes soumises à la procédure simplifiée, applicable en l'espèce en vertu de l'art. 243 al. 2 let. c CPC, si la motivation de l'appel peut être brève et succincte, un simple renvoi aux actes de procédure antérieurs n'est toutefois pas suffisant (Message CPC, FF 2006 6841, p. 6980; HOHL, op. cit., 2010, n. 2408). Le fait que le juge d'appel applique le droit d'office (art. 57 CPC) ne supprime pas pour autant l'exigence de motivation consacrée à l'art. 311 CPC, quand bien même le litige relève de la procédure simplifiée régie par la maxime inquisitoire (arrêt du Tribunal fédéral 4A_463/2014 du 23 janvier 2015 consid. 1).</w:t>
      </w:r>
    </w:p>
    <w:p>
      <w:r>
        <w:t>La motivation est une condition de recevabilité de l'appel prévue par la loi, qui doit être examinée d'office. Si elle fait défaut, le tribunal cantonal supérieur n'entre pas en matière sur l'appel (arrêts du Tribunal fédéral 4A_290/2014 du 1er septembre 2014 consid. 3.1; 5A_438/2012 du 27 août 2012 consid. 2.2; 4A_659/2011 du 7 décembre 2011 consid. 3, in SJ 2012 I 232).</w:t>
      </w:r>
    </w:p>
    <w:p>
      <w:r>
        <w:t>1.4 En l'espèce, l'appel a été interjeté dans le délai prescrit par la loi, de sorte qu'il est recevable sous cet angle.</w:t>
      </w:r>
    </w:p>
    <w:p>
      <w:r>
        <w:t>Alors même que l'appel ne fait que reprendre, pour l'essentiel, l'argumentation développée devant le Tribunal, l'on comprend quels points du jugement sont critiqués et quels motifs sont invoqués. L'appel est partant recevable.</w:t>
      </w:r>
    </w:p>
    <w:p>
      <w:r>
        <w:t>1.5 La Cour revoit la cause avec un plein pouvoir d'examen (art. 310 CPC; HOHL, Procédure civile, tome II, 2010, n. 2314 et 2416; RÉTORNAZ, Procédure civile suisse, les grands thèmes pour les praticiens. Neuchâtel 2010, p. 349 ss, n. 121). 2. L'appelante reproche au premier juge d'avoir considéré que la demande était recevable. Elle soutient que l'intimée n'était pas valablement représentée dans le cadre de la procédure de conciliation ni lors de l'introduction de la demande au Tribunal.</w:t>
      </w:r>
    </w:p>
    <w:p>
      <w:r>
        <w:t>2.1 A teneur de l'art. 68 al. 1 CPC, toute personne capable d'ester en justice peut se faire représenter au procès.</w:t>
      </w:r>
    </w:p>
    <w:p>
      <w:r>
        <w:t>Chacune des personnes habilitée à représenter une société en justice doit justifier de sa qualité et de son pouvoir en produisant soit un extrait du registre du commerce, soit l'autorisation qui lui a été délivrée pour plaider et transiger dans l'affaire concrète dont le tribunal est saisi (arrêt du Tribunal fédéral 4A_415/2014 du 12 janvier 2015 consid. 1.3).</w:t>
      </w:r>
    </w:p>
    <w:p>
      <w:r>
        <w:t>La question de la ratification des actes du représentant sans pouvoir n'est pas réglée expressément par le CPC. Dès lors, la problématique de la correction du défaut de pouvoir du mandataire avec effet rétroactif doit être résolue à la lumière des principes inscrits aux art. 32 ss CO. Elle doit être admise sur la base de</w:t>
      </w:r>
    </w:p>
    <w:p>
      <w:r>
        <w:t>- 11/15 -</w:t>
      </w:r>
    </w:p>
    <w:p>
      <w:r>
        <w:t>C/15503/2016 l'art. 38 CO (BOHNET, Code de procédure civile commenté, 2011, n° 31 ad art. 68 CPC).</w:t>
      </w:r>
    </w:p>
    <w:p>
      <w:r>
        <w:t>2.2 En l'espèce, à teneur du Registre du commerce, G______ disposait d'un pouvoir de signature individuelle pour représenter la bailleresse jusqu'au 29 juillet 2016. Il était donc autorisé à signer seul la procuration donnée au Conseil de la bailleresse le 1er juillet 2016, pour la représenter en justice. Partant, la demande déposée en conciliation, puis devant le Tribunal sous la signature de l'avocat dûment mandaté l'a été valablement. Le grief est infondé.</w:t>
      </w:r>
    </w:p>
    <w:p>
      <w:r>
        <w:t>En tout état, comme l'a relevé le Tribunal, une nouvelle procuration comportant deux signatures a été donnée par l'intimée à son conseil le 2 décembre 2016, ratifiant par là même la première procuration.</w:t>
      </w:r>
    </w:p>
    <w:p>
      <w:r>
        <w:t>Le jugement sera confirmé sur ce point. 3. L'appelante reproche au premier juge d'avoir considéré que le montant réclamé, fondant la résiliation, était exigible, que les décomptes respectaient les exigences de l'art. 8 OBLF, et que le droit de consultation de la locataire avait été respecté. 3.1 3.1.1 Les frais accessoires sont dus pour les prestations fournies par le bailleur ou un tiers en rapport avec l'usage de la chose (art. 257a al. 1 CO). Le bailleur, doit, à la demande du locataire, lui permettre de consulter les pièces justificatives (art. 257b al. 2 CO).</w:t>
      </w:r>
    </w:p>
    <w:p>
      <w:r>
        <w:t>Le décompte doit préciser les frais mis à charge (chauffage, conciergerie, etc.), indiquer le coût total des dépenses de l'immeuble, la clé de répartition, la part à charge du locataire, les acomptes versés et enfin le solde dû (BOHNET/MONTINI, Droit du bail à loyer, 2017, n° 92 ad art. 257a/257b CO).</w:t>
      </w:r>
    </w:p>
    <w:p>
      <w:r>
        <w:t>La répartition des frais entre locataires intervient au moment du décompte. Elle dépend des installations de l'immeuble (p. ex. : chauffage centralisé avec ou sans fourniture d'eau chaude sanitaire), de la clé de répartition entre unités de l'immeuble et du bail conclu par les parties. Lorsque l'immeuble est équipé d'une installation de chauffage avec production d'eau chaude, une part estimée entre 70 et 80% est généralement attribuée aux frais de chauffage, l'eau chaude sanitaire représentant le 20 à 30% restant (BOHNET/MONTINI, op. cit., n° 101 ad art. 257a/257b CO).</w:t>
      </w:r>
    </w:p>
    <w:p>
      <w:r>
        <w:t>Le droit de consulter les pièces originales, de même que celui d'obtenir des renseignements sur l'état des stocks de combustibles au début et à la fin de la période de chauffage sont garantis au locataire par l'art. 8 al. 2 OBLF qui complète l'art. 257b al. 2 CO. Il s'agit d'un droit relativement impératif que le locataire peut exercer tant et aussi longtemps que sa prétention en restitution n'est pas prescrite. Est contraire au droit une clause qui limite le délai de consultation</w:t>
      </w:r>
    </w:p>
    <w:p>
      <w:r>
        <w:t>- 12/15 -</w:t>
      </w:r>
    </w:p>
    <w:p>
      <w:r>
        <w:t>C/15503/2016 des pièces justificatives à trente jours, en l'assortissant d'une déchéance du droit du locataire de contester le décompte (BOHNET/MONTINI, op. cit., n° 111 ad art. 257a/257b CO).</w:t>
      </w:r>
    </w:p>
    <w:p>
      <w:r>
        <w:t>A défaut de convention, les justificatifs doivent être consultés au domicile du bailleur ou de sa gérance, aux heures habituelles d'ouverture des bureaux.</w:t>
      </w:r>
    </w:p>
    <w:p>
      <w:r>
        <w:t>La loi ne prévoit pas de délai de consultation. Le Tribunal fédéral a jugé qu'un délai de trente jours permettait au locataire de consulter les pièces originales, de contrôler l'exactitude du décompte et, le cas échéant, d'effectuer le paiement requis. Ça n'est qu'à l'échéance de ce délai de trente jours que le locataire est en demeure de payer, et que le bailleur pourra, le cas échéant, faire valoir ses droits à l'encontre du preneur (arrêt du Tribunal fédéral 4A_271/2014 du 19 novembre 2014 consid. 3.2).</w:t>
      </w:r>
    </w:p>
    <w:p>
      <w:r>
        <w:t>Lorsqu'un décompte détaillé des frais de chauffage et de préparation d'eau chaude ainsi que de leur répartition entre les locataires n'est pas remis au locataire avec la facture annuelle de chauffage, il y a lieu d'indiquer expressément sur la facture que le locataire peut exiger le décompte détaillé (art. 8 al. 1 OBLF).</w:t>
      </w:r>
    </w:p>
    <w:p>
      <w:r>
        <w:t>3.1.2 Selon l'art. 257d al. 1 CO, lorsque le locataire d'un bail d'habitation ou de locaux commerciaux est en retard dans le paiement de loyers ou frais accessoires échus, le bailleur peut lui fixer par écrit un délai, de trente jours au moins, et lui signifier qu'à défaut de paiement dans ce délai, il résiliera le bail. En cas de non- paiement dans le délai, il peut, moyennant un délai de congé de trente jours pour la fin d'un mois, résilier le bail en application de l'art. 257d al. 2 CO.</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w:t>
      </w:r>
    </w:p>
    <w:p>
      <w:r>
        <w:t>Les frais accessoires tombent également sous le coup de l'art. 257d CO, qu'il s'agisse d'un forfait, d'un acompte provisionnel ou encore du solde annuel du décompte (même contesté), pourvu que le montant soit exigible. Cette exigence suppose que le bailleur ait donné au locataire l'occasion de prendre connaissance des pièces justificatives et lui ait soumis un décompte (BOHNET/MONTINI, op. cit., n° 11 ad art. 257d CO; ACJC/492/2014 du 17 avril 2014).</w:t>
      </w:r>
    </w:p>
    <w:p>
      <w:r>
        <w:t>3.2 En l'espèce, le 9 septembre 2015, l'intimée a adressé à l'appelante un décompte de charges pour la période 2014/2015, auquel était joint un décompte général, dont il résultait le coût total des dépenses de l'immeuble, la clé de répartition entre frais de chauffage (70%) et eau chaude (30%), la part à charge du locataire (4.0 et 4.3), les acomptes versés et enfin le solde dû. Ce décompte comprenait les mêmes</w:t>
      </w:r>
    </w:p>
    <w:p>
      <w:r>
        <w:t>- 13/15 -</w:t>
      </w:r>
    </w:p>
    <w:p>
      <w:r>
        <w:t>C/15503/2016 mentions que celles figurant sur ceux envoyés à l'appelante les années précédentes, et qui n'avaient pas fait l'objet de demande de renseignements complémentaires ni de contestation, sous réserve des frais de Passotel (qui ne sont plus litigieux, car supprimés). Ainsi, comme l'a retenu à juste titre le Tribunal, ce décompte répondait aux exigences de précision posées par la doctrine susmentionnée en la matière, de sorte qu'il n'était pas nécessaire d'indiquer qu'un décompte détaillé pouvait être exigé (art. 8 al. 1 OBLF).</w:t>
      </w:r>
    </w:p>
    <w:p>
      <w:r>
        <w:t>Dans la mesure où la mention d'un délai de trente jours n'était pas assortie d'une menace de déchéance du droit, elle ne prêtait pas le flanc à la critique. Il était en outre mentionné que les pièces pouvaient être consultées pendant trente jours, chez la bailleresse, après accord téléphonique préalable. L'appelante ne prétend pas qu'elle aurait pris contact en ce sens, et que l'accès aux pièces lui aurait été refusé. La possibilité de consulter celles-ci chez la bailleresse était également conforme à la loi, étant précisé que l'appelante aurait également pu se rendre à la régie pour ce faire.</w:t>
      </w:r>
    </w:p>
    <w:p>
      <w:r>
        <w:t>Ainsi, à l'échéance d'un délai de trente jours, le montant porté sur le décompte était exigible, à tout le moins en ce qui concerne les frais de chauffage et d'eau chaude (à l'exclusion des frais de Passotel), en l'absence de réaction de l'appelante.</w:t>
      </w:r>
    </w:p>
    <w:p>
      <w:r>
        <w:t>Après avoir accepté de supprimer les frais Passotel des décomptes dès 2011/2012, l'intimée a adressé à l'appelante un nouveau décompte, le 13 novembre 2015, tenant compte de cette modification. Les frais de chauffage et d'eau chaude étaient les mêmes que précédemment, tout comme les précisions y relatives.</w:t>
      </w:r>
    </w:p>
    <w:p>
      <w:r>
        <w:t>L'appelante n'a pas réagi dans les trente jours, de sorte que les montants figurant sur ces documents, en particulier celui relatif aux frais accessoires 2014/2015, est devenu exigible. Dans le délai de paiement fixé au 31 décembre 2015, l'appelante aurait eu tout loisir de demander des renseignements complémentaires, ce qu'elle n'a pas fait.</w:t>
      </w:r>
    </w:p>
    <w:p>
      <w:r>
        <w:t>Même à admettre que l'appelante ait adressé à l'intimée le courrier du 10 janvier 2016, ce qui n'est pas établi, la solution ne serait pas différente, dans la mesure où à cette date la créance était déjà exigible. De plus, contrairement à ce qui y est indiqué, les charges de chauffage n'ont pas augmenté au fil des ans, de sorte que cette lettre paraît rédigée pour les besoins de la cause.</w:t>
      </w:r>
    </w:p>
    <w:p>
      <w:r>
        <w:t>Il résulte de ce qui précède que la créance de 681 fr.35, objet de la mise en demeure du 15 janvier 2016 était exigible. L'appelante ne s'étant pas acquittée de ce montant dans le délai imparti, l'intimée a valablement résilié le bail pour le 31 mai 2016.</w:t>
      </w:r>
    </w:p>
    <w:p>
      <w:r>
        <w:t>Le jugement entrepris sera confirmé.</w:t>
      </w:r>
    </w:p>
    <w:p>
      <w:r>
        <w:t>- 14/15 -</w:t>
      </w:r>
    </w:p>
    <w:p>
      <w:r>
        <w:t>C/15503/2016 4. L'appelante reproche au Tribunal de ne pas avoir considéré que le congé était contraire à la bonne foi.</w:t>
      </w:r>
    </w:p>
    <w:p>
      <w:r>
        <w:t>4.1 Selon l'art. 273 al. 1 CO, la partie qui veut contester le congé doit saisir l'autorité de conciliation dans les trente jours qui suivent la réception de celui-ci. La contestation du congé, prévue par cette disposition, vise le cas où la partie fait valoir que le congé est annulable au sens des art. 271 et 271a CO. Le locataire ne peut plus faire valoir l'annulabilité du congé qui lui a été signifié pour cause de demeure dans le paiement du loyer ou des frais accessoires échus litigieux, s'il ne l'a pas contesté dans le délai péremptoire de l'art. 273 al. 1 CO (arrêt du Tribunal fédéral 4A_40/2015 du 18 février 2015).</w:t>
      </w:r>
    </w:p>
    <w:p>
      <w:r>
        <w:t>4.2 En l'espèce, les baux concernés ont été résiliés le 8 avril 2016 pour le 31 mai 2016 au moyen de la formule ad hoc. Ces résiliations n'ayant pas été contestées devant la Commission de conciliation, l'appelante ne saurait requérir l'annulation des congés sur la base des art. 271 et 271a CO.</w:t>
      </w:r>
    </w:p>
    <w:p>
      <w:r>
        <w:t>Le jugement sera confirmé sur ce point également.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C/15503/2016 PAR CES MOTIFS, La Chambre des baux et loyers : A la forme : Déclare recevable l'appel interjeté le 8 mai 2017 par A______ contre le jugement JTBL/257/2017 rendu le 15 mars 2017 par le Tribunal des baux et loyers dans la cause C/15503/2016. Au fond : Confirme ce jugement.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