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ACJC/1476/2025 vom 22. Oktober 2025</w:t>
      </w:r>
    </w:p>
    <w:p>
      <w:r>
        <w:t>GE Cour de justice, 2025-10-22, FR</w:t>
      </w:r>
    </w:p>
    <w:p>
      <w:r>
        <w:rPr>
          <w:b/>
        </w:rPr>
        <w:t xml:space="preserve">Quelle: </w:t>
      </w:r>
      <w:r>
        <w:t>https://mcp.opencaselaw.ch/entscheid/ge_gerichte_ACJC_1476_2025</w:t>
      </w:r>
    </w:p>
    <w:p>
      <w:r>
        <w:t>FR: GE_GERICHTE ACJC/1476/2025 du 22 octobre 2025</w:t>
      </w:r>
    </w:p>
    <w:p>
      <w:r>
        <w:t>IT: GE_GERICHTE ACJC/1476/2025 del 22 ottobre 2025</w:t>
      </w:r>
    </w:p>
    <w:p>
      <w:pPr>
        <w:pStyle w:val="Heading2"/>
      </w:pPr>
      <w:r>
        <w:t>Erwägungen</w:t>
      </w:r>
    </w:p>
    <w:p>
      <w:r>
        <w:rPr>
          <w:b/>
        </w:rPr>
        <w:t>E. 1</w:t>
      </w:r>
    </w:p>
    <w:p>
      <w:r>
        <w:t>1.1.1 S'agissant d'une procédure de mainlevée, seule la voie du recours est ouverte (art. 309 let. b ch. 7 et 319 let. a CPC; art. 174 al. 1, art. 194 al. 1 LP). Le recours doit être interjeté dans le délai de dix jours à compter de la notification de la décision motivée (art. 321 al. 1 et 2 CPC).</w:t>
      </w:r>
    </w:p>
    <w:p>
      <w:r>
        <w:t>- 3/5 -</w:t>
      </w:r>
    </w:p>
    <w:p>
      <w:r>
        <w:t>C/5605/2025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 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si cette atteinte</w:t>
      </w:r>
    </w:p>
    <w:p>
      <w:r>
        <w:t>- 4/5 -</w:t>
      </w:r>
    </w:p>
    <w:p>
      <w:r>
        <w:t>C/5605/2025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Aucun élément ne permet de retenir qu'elle en a eu connaissance. Il ne peut être opposé à la recourante qu'elle devait s'attendre à recevoir des communications de la part du Tribunal à la suite de l'opposition qu'elle avait formée, puisque la procédure de mainlevée d'opposition constitue une nouvelle procédure. La fiction de notification de l'art. 138 al. 3 let. a CPC n'était dès lors pas applicable.</w:t>
      </w:r>
    </w:p>
    <w:p>
      <w:r>
        <w:t>Le droit d'être entendue de la partie recourante a ainsi été violé puisqu'elle n'a pas été valablement convoquée à l'audience du 15 septembre 2025 et qu'elle a ainsi été privée de la possibilité de faire valoir ses arguments devant le Tribunal. Cette violation ne peut pas être réparée dans le cadre du présent recours puisque la Cour ne dispose pas d'un pouvoir d'examen complet.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w:t>
      </w:r>
    </w:p>
    <w:p>
      <w:r>
        <w:t>En l'espèce, compte tenu des circonstances, il sera renoncé à percevoir des frais judiciaires de recours (art. 7 RTFMC). Il ne sera pas alloué de dépens, la recourante comparant en personne et n'ayant pas justifié avoir effectué de démarches justifiant leur allocation (art. 95 al. 3 let. c CPC). * * * * *</w:t>
      </w:r>
    </w:p>
    <w:p>
      <w:r>
        <w:t>- 5/5 -</w:t>
      </w:r>
    </w:p>
    <w:p>
      <w:r>
        <w:t>C/5605/2025 PAR CES MOTIFS, La Chambre civile : Annule le jugement JTPI/11554/2025 rendu le 15 septembre 2025 par le Tribunal de première instance dans la cause C/5605/2025-23 SML. Renvoie la cause au Tribunal de première instance pour nouvelle instruction et décision. Dit qu'il n'est pas perçu de frais judiciaires ni alloué de dépens de recours. Déboute les parties de toutes autres conclusions. Siégeant : Madame Fabienne GEISINGER-MARIETHOZ, présidente; Monsieur Jean REYMOND, Madame Stéphanie MUSY, juges; Madame Barbara NEVEUX, greffière.</w:t>
      </w:r>
    </w:p>
    <w:p>
      <w:r>
        <w:t>La présidente : Fabienne GEISINGER-MARIETHOZ</w:t>
      </w:r>
    </w:p>
    <w:p>
      <w:r>
        <w:t>La greffière : Barbara NEVEUX</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