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ACJC/1474/2020 vom 19. Oktober 2020</w:t>
      </w:r>
    </w:p>
    <w:p>
      <w:r>
        <w:t>GE Cour de justice, 2020-10-19, FR</w:t>
      </w:r>
    </w:p>
    <w:p>
      <w:r>
        <w:rPr>
          <w:b/>
        </w:rPr>
        <w:t xml:space="preserve">Quelle: </w:t>
      </w:r>
      <w:r>
        <w:t>https://mcp.opencaselaw.ch/entscheid/ge_gerichte_ACJC_1474_2020</w:t>
      </w:r>
    </w:p>
    <w:p>
      <w:r>
        <w:t>FR: GE_GERICHTE ACJC/1474/2020 du 19 octobre 2020</w:t>
      </w:r>
    </w:p>
    <w:p>
      <w:r>
        <w:t>IT: GE_GERICHTE ACJC/1474/2020 del 19 ottobre 2020</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Lorsque la décision de première instance a été rendue en procédure sommaire, le délai pour l'introduction du recours est de dix jours (art. 321 al. 2 CPC). La procédure sommaire s'applique à la procédure de cas clair (art. 248 let. b CPC).</w:t>
      </w:r>
    </w:p>
    <w:p>
      <w:r>
        <w:rPr>
          <w:b/>
        </w:rPr>
        <w:t>E. 1.3</w:t>
      </w:r>
    </w:p>
    <w:p>
      <w:r>
        <w:t>En l'espèce, la valeur litigieuse s'élève à 37'000 fr. (6'200 fr. par mois charges comprises x 6 mois), de sorte que la voie de l'appel est ouverte contre le prononcé de l'évacuation.</w:t>
      </w:r>
    </w:p>
    <w:p>
      <w:r>
        <w:rPr>
          <w:b/>
        </w:rPr>
        <w:t>E. 1.4</w:t>
      </w:r>
    </w:p>
    <w:p>
      <w:r>
        <w:t>Seule est en revanche ouverte la voie du recours contre le prononcé des mesures d'exécution (art. 309 let. a CPC).</w:t>
      </w:r>
    </w:p>
    <w:p>
      <w:r>
        <w:rPr>
          <w:b/>
        </w:rPr>
        <w:t>E. 1.5.1</w:t>
      </w:r>
    </w:p>
    <w:p>
      <w:r>
        <w:t>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w:t>
      </w:r>
    </w:p>
    <w:p>
      <w:r>
        <w:t>- 5/8 -</w:t>
      </w:r>
    </w:p>
    <w:p>
      <w:r>
        <w:t>C/11400/2020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acte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arrêts du Tribunal fédéral 5D_130/2011 du 22 septembre 2011 consid. 2.1, publié in Pra 2012 (42) 300; 5A_466/2012 du</w:t>
      </w:r>
    </w:p>
    <w:p>
      <w:r>
        <w:rPr>
          <w:b/>
        </w:rPr>
        <w:t>E. 1.5.2</w:t>
      </w:r>
    </w:p>
    <w:p>
      <w:r>
        <w:t>Dans le présent cas, le jugement a été expédié à l'appelante par pli recommandé du 7 septembre 2020 et le délai de garde pour retirer ledit pli à la Poste est venu à échéance le 15 septembre 2020. Il s'ensuit que le délai pour former appel, de 10 jours, venant à échéance le 25 septembre 2020. 2. Reste à examiner si le délai d'appel peut être restitué, comme le requiert l'appelante. 2.1 Selon l'art. 147 al. 1 CPC, une partie est défaillante lorsqu'elle omet d'accomplir un acte de procédure dans le délai prescrit.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Pour une grande partie de la doctrine, l'art. 148 CPC est applicable aux délais légaux d'appel et de recours (GASSER/RICKLI, Schweizerische</w:t>
      </w:r>
    </w:p>
    <w:p>
      <w:r>
        <w:t>- 6/8 -</w:t>
      </w:r>
    </w:p>
    <w:p>
      <w:r>
        <w:t>C/11400/2020 Zivilprozessordnung, Kurzkommentar, 2014, n. 1 ad art. 311 et n. 1 ad art. 321 CPC; GOZZI, Basler Kommentar ZPO, n. 6 ad art. 148 CPC; MERZ, Schweizerische Zivilprozessordnung, Kommentar, Brunner/Gasser/Schwander, 2016, n. 5 ad art. 148 CPC; STAEHELIN, Kommentar zur Schweizerischen Zivilprozessordnung, Sutter-Somm/Hasenböhler/Leuenberger, 2016, n. 5 et 15 ad art. 148 CPC).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Commentaire Romand, Code de procédure civile, n. 4 ad art. 148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5A_927/2015 du 22 décembre 2015 consid. 5.1; 4A_163/2015 du 12 octobre 2015 consid. 4.1; DIETSCHY-MARTENET, RDS 2015 I 149 ss, 157 s.).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n. 11 et 13-14 ad art. 148 CPC). En cas de maladie ou d'accident, l'affection doit être à ce point incapacitante qu'elle empêche objectivement la partie d'agir ou de mandater un tiers pour le faire (ATF 112 V 255 consid. 2a; FRESARD, Commentaire de la LTF, n. 8 ad art. 50 LTF). La requête doit être motivée, c'est-à-dire indiquer l'empêchement, et être accompagnée des moyens de preuve disponibles. Le tribunal appelé à se prononcer dispose d'une marge d'appréciation (arrêts du Tribunal fédéral 4A_52/2019 du 20 mars 2019 consid. 3.1; 4A_334/2016 du 7 juillet 2016 consid. 4.2; 4A_163/2015 du 12 octobre 2015 consid. 4.1). Une simple hypothèse ne suffit pas à rendre vraisemblables les circonstances qui rendraient l'empêchement excusable ou non fautif (arrêt du Tribunal fédéral 5A_927/2015 du 22 décembre 2015 consid. 5.1 et 5.2). Pour apprécier la faute, les circonstances personnelles afférentes au requérant doivent être prises en compte. De la part d'un avocat, l'on peut attendre une plus grande diligence (GOZZI, Basler Kommentar ZPO, n. 11 s. ad art. 148 CPC). Il suffit que les conditions (matérielles) d'application de l'art. 148 CPC soient rendues vraisemblables par le requérant, qui supporte le fardeau de la preuve (arrêts du Tribunal fédéral 4A_52/2019 précité, ibidem; 5A_927/2015 précité,</w:t>
      </w:r>
    </w:p>
    <w:p>
      <w:r>
        <w:t>- 7/8 -</w:t>
      </w:r>
    </w:p>
    <w:p>
      <w:r>
        <w:t>C/11400/2020 consid. 5.1; 5A_94/2015 du 6 août 2015 consid. 6.2 et 6.3; TAPPY, op. cit., n. 11 ad art. 148 CPC; GOZZI, op. cit., n. 38 ad art. 148 CPC). 2.2 En l'espèce, l'appelante soutient qu'en raison d'une incapacité de travail survenue entre le 31 août et le 21 septembre 2020, à la suite d'un accident, elle n'a pas été en mesure de former appel contre le jugement du Tribunal du 1er septembre 2020. Comme le relève à juste titre l'intimée, dite incapacité n'était que partielle (50%). Par ailleurs, malgré cette incapacité, l'appelante a été en mesure de se rendre à l'audience du Tribunal du 1er septembre 2020. Par conséquent, l'affection dont se prévaut l'appelante n'était pas à ce point incapacitante qu'elle a été objectivement empêchée d'agir ou de mandater un tiers pour le faire. Au de l'ensemble des éléments qui précèdent, l'appelante n'a pas rendu vraisemblable que l'empêchement dont elle fait état serait imputable à une faute légère. 2.3 Les conditions d'une restitution de délai font par conséquent défaut, de sorte que la requête sera rejetée. 2.4 Les conclusions en suspension du caractère exécutoire des mesures d'exécution ordonnées par le Tribunal sont dès lors sans objet.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C/11400/2020 PAR CES MOTIFS, La Chambre des baux et loyers : Statuant sur requête de restitution du délai d'appel : Rejette la requête de restitution du délai d'appel formée le 1er octobre 2020 par A______ contre le jugement JTBL/586/2020 rendu dans la cause C/11400/2020-8-SE. Dit que la procédure est gratuite. Déboute les parties de toutes autres conclusions. Siégeant :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septembre 2012 consid. 4.1.1) et la fiction de notification ne déploie déjà pas ses effets pour le premier envoi notifié au défendeur (ATF 138 III 225, in JdT 2012 II 457 consid. 3.1 et référence). La fiction de la notification à l'échéance du délai de garde suppose que l'avis de retrait a été déposé dans la boîte aux lettres du destinataire et qu'il soit arrivé par conséquent dans sa sphère privée (ATF 116 III 59 consid. 1b et les références citées, in JdT 1992 II p. 148).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