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ACJC/1473/2024 vom 22. April 2024</w:t>
      </w:r>
    </w:p>
    <w:p>
      <w:r>
        <w:t>GE Cour de justice, 2024-04-22, FR</w:t>
      </w:r>
    </w:p>
    <w:p>
      <w:r>
        <w:rPr>
          <w:b/>
        </w:rPr>
        <w:t xml:space="preserve">Quelle: </w:t>
      </w:r>
      <w:r>
        <w:t>https://mcp.opencaselaw.ch/entscheid/ge_gerichte_ACJC_1473_2024</w:t>
      </w:r>
    </w:p>
    <w:p>
      <w:r>
        <w:t>FR: GE_GERICHTE ACJC/1473/2024 du 22 avril 2024</w:t>
      </w:r>
    </w:p>
    <w:p>
      <w:r>
        <w:t>IT: GE_GERICHTE ACJC/1473/2024 del 22 aprile 2024</w:t>
      </w:r>
    </w:p>
    <w:p>
      <w:pPr>
        <w:pStyle w:val="Heading2"/>
      </w:pPr>
      <w:r>
        <w:t>Erwägungen</w:t>
      </w:r>
    </w:p>
    <w:p>
      <w:r>
        <w:rPr>
          <w:b/>
        </w:rPr>
        <w:t>E. 1.1</w:t>
      </w:r>
    </w:p>
    <w:p>
      <w:r>
        <w:t>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w:t>
      </w:r>
    </w:p>
    <w:p>
      <w:r>
        <w:rPr>
          <w:b/>
        </w:rPr>
        <w:t>E. 1.2</w:t>
      </w:r>
    </w:p>
    <w:p>
      <w:r>
        <w:t>Interjeté dans le délai et selon la forme prévus par la loi, le recours est recevable, sous réserve de ce qui suit.</w:t>
      </w:r>
    </w:p>
    <w:p>
      <w:r>
        <w:rPr>
          <w:b/>
        </w:rPr>
        <w:t>E. 1.3</w:t>
      </w:r>
    </w:p>
    <w:p>
      <w:r>
        <w:t>Selon l'art. 326 al. 1 CPC, les conclusions, les allégations de faits et les preuves nouvelles sont irrecevables. La recourante présente un état de fait qui diffère de celui qu'elle a présenté devant le Tribunal. Celui-ci est irrecevable en tant qu'il porte sur des faits nouveaux. Les pièces nouvelles produites devant la Cour sont par ailleurs irrecevables.</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2010, n. 2307). Le recours étant instruit en procédure sommaire (art. 251 let. a CPC), la preuve des faits allégués doit être apportée par titres (art. 254 CPC). Les maximes des débats et de disposition s'appliquent (art. 55 al. 1, 255 let. a a contrario et art. 58 al. 1 CPC).</w:t>
      </w:r>
    </w:p>
    <w:p>
      <w:r>
        <w:rPr>
          <w:b/>
        </w:rPr>
        <w:t>E. 2</w:t>
      </w:r>
    </w:p>
    <w:p>
      <w:r>
        <w:t>septembre 2011 consid. 6.1; VEUILLET/ABBET, La mainlevée de l'opposition, 2ème éd., 2022, n. 126 ad art. 82 LP). Les preuves produites par le débiteur poursuivi doivent rendre vraisemblable le fait libératoire (ATF 132 III 140 consid. 4.1.2). L'exception de compensation doit ainsi être rendue vraisemblable par titre (art. 177 et 254 al. 1 CPC). La vraisemblance de la créance compensante peut résulter de l'image générale qui se dégage de divers documents, le juge jouissant à cet égard d'un certain pouvoir d'appréciation (arrêt du Tribunal fédéral 5A_66/2020 précité loc. cit. et les références). Le dépôt d'une action en justice ou l'introduction d'une poursuite à l'encontre du poursuivant ne rend pas vraisemblable la créance opposée en compensation (VEUILLET/ABBET, op. cit., n. 127 ad art. 82 LP).</w:t>
      </w:r>
    </w:p>
    <w:p>
      <w:r>
        <w:rPr>
          <w:b/>
        </w:rPr>
        <w:t>E. 2.1.1</w:t>
      </w:r>
    </w:p>
    <w:p>
      <w:r>
        <w:t>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résultent (ATF 139 III 297 consid. 2.3.1; 136 III 627 consid. 2 et la référence).</w:t>
      </w:r>
    </w:p>
    <w:p>
      <w:r>
        <w:t>- 6/10 -</w:t>
      </w:r>
    </w:p>
    <w:p>
      <w:r>
        <w:t>C/26268/2023</w:t>
      </w:r>
    </w:p>
    <w:p>
      <w:r>
        <w:rPr>
          <w:b/>
        </w:rPr>
        <w:t>E. 2.1.2</w:t>
      </w:r>
    </w:p>
    <w:p>
      <w:r>
        <w:t>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cf. aussi arrêts du Tribunal fédéral 5D_964/2021 du 9 mars 2022 consid. 3.1.1; 5D_249/2020 du 1er juillet 2021 consid. 2.1; 5A_833/2017 du 8 mars 2018 consid. 2.2). Un contrat bilatéral ne vaut cependant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w:t>
      </w:r>
    </w:p>
    <w:p>
      <w:r>
        <w:rPr>
          <w:b/>
        </w:rPr>
        <w:t>E. 2.1.3</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145 III 20 consid. 4.1.2; 142 III 720 consid. 4.1). Le poursuivi n'a pas à apporter la preuve absolue (ou stricte) de ses moyens libératoires, mais seulement à les rendre vraisemblables, en principe par titre (art. 254 al. 1 CPC; ATF 145 III 160 consid. 5.1; 145 III 20 consid. 4.1.2; 142 III 720 consid. 4.1). Le juge n'a pas à être persuadé de l'existence des faits allégués; il doit, en se fondant sur des éléments objectifs, avoir l'impression qu'ils se sont produits, sans exclure pour autant la possibilité qu'ils se soient déroulés autrement (ATF 145 III 213 consid. 6.1.3; 142 III 720 consid. 4.1; 132 III 140 consid. 4.1.2). Le point de savoir si le recourant a rendu vraisemblable sa libération ressortit à l'appréciation des preuves (arrêts du Tribunal fédéral 5A_446/2018 du 25 mars 2019 consid. 4.2; 5A_833/2017 du 8 mars 2018 consid. 3; 5A_435/2015 du 13 octobre 2015 consid. 3.2.1.3).</w:t>
      </w:r>
    </w:p>
    <w:p>
      <w:r>
        <w:rPr>
          <w:b/>
        </w:rPr>
        <w:t>E. 2.1.4</w:t>
      </w:r>
    </w:p>
    <w:p>
      <w:r>
        <w:t>La compensation constitue une cause d'extinction de la créance. Le juge rejette la requête de mainlevée provisoire si le débiteur rend vraisemblable l'existence, le montant et l'exigibilité de la créance compensante ainsi que le montant exact à concurrence duquel la dette serait éteinte (ATF 136 III 624 consid. 4.2.3; arrêt du Tribunal fédéral 5A_139/2018 du 25 juin 2019 consid. 2.6.1 publié in BlSchK 2021 p. 271). Il ne peut pas se contenter d'alléguer l'existence d'une créance envers le poursuivant pour rendre vraisemblable cette prétention et opposer valablement l'objection de compensation; de simples affirmations ne sont pas suffisantes (arrêts du Tribunal fédéral 5D_52/2022 du</w:t>
      </w:r>
    </w:p>
    <w:p>
      <w:r>
        <w:rPr>
          <w:b/>
        </w:rPr>
        <w:t>E. 2.2</w:t>
      </w:r>
    </w:p>
    <w:p>
      <w:r>
        <w:t>En l'espèce, il convient d'emblée de relever qu'il est difficile de comprendre, sur la base des explications de la recourante, quel argument juridique elle invoque, puisqu’elle ne cite aucune disposition légale. L’on ignore notamment si elle conteste que l'intimé dispose d'un titre de mainlevée ou invoque un moyen libératoire, l'art. 82 LP n'étant à aucun moment mentionné. La recourante avance tout une série d'éléments sans expliquer quelle conséquence devrait en être tirée. La recourante se réfère régulièrement à la procédure pendante devant le Tribunal de baux et loyers pour tenter de démontrer qu'elle n'est pas débitrice du montant pour lequel elle est poursuivie et soutient que le litige entre les parties doit être tranché par ledit Tribunal. Elle perd cependant de vue que lors du contentieux de la mainlevée de l'opposition, qui fait l'objet de la présente procédure, le but n'est pas de constater la réalité d'une créance, mais l'existence d'un titre exécutoire; le juge de la mainlevée examine donc uniquement la force probante du titre produit par le créancier poursuivant, sa nature formelle, et non pas la validité de la prétention déduite en poursuite (ATF 132 III 140 consid. 4.1.1 et les références). Il ne s'agit dès lors pas de vérifier si le montant réclamé est effectivement dû, ce que le Tribunal des baux et loyers examinera, mais si le contrat sur lequel se fonde l'intimé constitue un titre de mainlevée provisoire de l'opposition. Contrairement à ce que la recourante indique il ne s'agit pas du "même litige" et le principe de "sécurité du droit" qu'elle invoque n'interdit pas le prononcé d'un jugement de mainlevée même si le différend entre les parties est, au fond, pendant devant le Tribunal de baux et loyers. En ce sens, la recevabilité du recours, qui ne critique pas le jugement attaqué en tant qu'il a considéré que le contrat du 17 octobre 2011 valait reconnaissance de dette pour le montant du fermage ni que la recourante n'avait pas fait valoir de moyen libératoire susceptible de faire échec au prononcé de la mainlevée de l'opposition, est douteuse. Cela étant, il convient de relever ce qui suit.</w:t>
      </w:r>
    </w:p>
    <w:p>
      <w:r>
        <w:t>- 8/10 -</w:t>
      </w:r>
    </w:p>
    <w:p>
      <w:r>
        <w:t>C/26268/2023 En tant que tel, le contrat qui lie les parties vaut titre de mainlevée. La recourante n'a pas contesté, devant le Tribunal, qu'elle ne s'était pas acquittée des loyers réclamés dans le délai comminatoire ni le montant réclamé à titre d'arriéré dû en vertu de la convention du 17 octobre 2011 et la contestation à cet égard devant la Cour, non motivée d'ailleurs en tant qu'elle concerne le montant lui-même, est irrecevable. Les affirmations péremptoires de la recourante, parfois difficiles à suivre, relatives notamment à l'impossibilité pour l'intimé d'être locataire alors qu'il est par ailleurs actionnaire de la société propriétaire et donc de résilier le bail, qui aurait été conclu par actes concluants avec ladite société, à l'impossibilité de faire perdurer une situation de sous-location pendant dix ans ou à l'absence de preuve d'un précédent bail sur les locaux, ne permettent en tout état de cause pas de considérer que le contrat du 17 octobre 2011 ne constitue pas un de titre de mainlevée valable. La recourante mentionne la jurisprudence du Tribunal fédéral selon laquelle un contrat bilatéral ne justifie pas la mainlevée provisoire lorsque le poursuivi prétend que la contre-prestation n'a pas été exécutée (ATF 145 III 20) et elle se réfère à la pratique bâloise en la matière. Elle soutient à cet égard que l'intimé n'a mis à disposition que des locaux, mais pas les équipements nécessaires à l'exploitation d'un restaurant pour lesquels elle devrait payer un fermage (raison pour laquelle le contrat devrait être qualifié de bail à loyer et non de bail à ferme). Le Tribunal a cependant retenu que le contrat conclu portait sur des locaux commerciaux, mais également un fonds de commerce permettant d'exploiter un établissement public dans lesdits locaux, sans que la recourante ne démontre l'arbitraire de cette constatation. En tout état de cause, la recourante ne s'est pas plainte pendant douze ans du fait que les équipements fournis ne permettaient pas l'exploitation du restaurant et elle n'apporte aucun élément propre à rendre vraisemblable que tel serait le cas. Le fait que la recourante ait fait l'acquisition de matériel ne suffit par ailleurs pas à rendre vraisemblable que le restaurant n'était pas exploitable. Son affirmation, après plus d'une décennie, selon laquelle le contrat devrait être qualifié de bail et non de gérance, de sorte que les montants versés à titre de fermage devraient lui être remboursés, n'est donc pas rendue vraisemblable. Selon la pratique bâloise (Basler Rechtsöffnungspraxis) à laquelle se réfère le Tribunal fédéral dans l'arrêt cité par la recourante, un contrat bilatéral justifie la mainlevée provisoire lorsque le poursuivi prétend que la contre- prestation n'a pas été exécutée ou n'a pas été correctement exécutée, mais que cette contestation apparaît manifestement sans consistance, ce qui est le cas en l'espèce, au vu des éléments qui précèdent. L'argument invoqué ne permet donc pas d'exclure que le contrat conclu entre les parties constitue un titre de mainlevée.</w:t>
      </w:r>
    </w:p>
    <w:p>
      <w:r>
        <w:t>- 9/10 -</w:t>
      </w:r>
    </w:p>
    <w:p>
      <w:r>
        <w:t>C/26268/2023 Il ressort ensuite des explications de la recourante qu'elle entend invoquer la compensation compte tenu du fait qu'elle aurait payé des loyers et fermages qui seraient indus. Il faut comprendre qu'elle entend ainsi invoquer un moyen libératoire au sens de l'art. 82 al. 2 LP. Les titres produits par la recourante et ses explications ne permettent toutefois pas de rendre vraisemblables l'existence et le montant de la créance compensante ainsi que le montant exact à concurrence duquel la dette serait éteinte. En effet, le fait que la recourante réclame à l'intimé, dans le cadre d'une procédure pendante devant le Tribunal des baux et loyers, une somme importante, supérieure à 500'000 fr., ne suffit pas en lui-même à rendre vraisemblable que l'intéressée dispose d'une prétention à l'encontre de l'intimé qu'elle pourrait opposer en compensation. Comme déjà indiqué, il n'a pas été rendu vraisemblable, en l'état, que le contrat ne pourrait pas être qualifié de bail à ferme au motif que les locaux n'étaient pas équipés et que, de ce fait, la recourante pourrait demander le remboursement de l'intégralité des sommes versées, ce qui paraît au demeurant improbable compte tenu du fait qu'elle ne peut vraisemblablement pas prétendre à la gratuité des locaux qu'elle occupe depuis treize ans. Elle relève d'ailleurs elle- même que le montant d'un loyer devra être fixé. Dès lors, le montant de la créance que la recourante pourrait invoquer en compensation n'est pas rendu vraisemblable. En définitive, les griefs invoqués ne sont pas fondés, de sorte que le recours sera rejeté, dans la mesure de sa recevabilité.</w:t>
      </w:r>
    </w:p>
    <w:p>
      <w:r>
        <w:rPr>
          <w:b/>
        </w:rPr>
        <w:t>E. 3</w:t>
      </w:r>
    </w:p>
    <w:p>
      <w:r>
        <w:t>La recourante, qui succombe, sera condamnée aux frais du recours (art. 106 al. 1 CPC). Les frais judiciaires seront arrêtés à 1'125 fr. (art. 48 et 61 al. 1 OELP) et compensés avec l'avance versée par la recourante, laquelle reste acquise à l'Etat de Genève (art. 111 al. 1 CPC). Les dépens dus à l'intimée seront fixés à 1'500 fr., TVA et débours compris (art. 25 et 26 al. 1 LaCC; art. 85, 89 et 90 RTFMC). * * * * *</w:t>
      </w:r>
    </w:p>
    <w:p>
      <w:r>
        <w:t>- 10/10 -</w:t>
      </w:r>
    </w:p>
    <w:p>
      <w:r>
        <w:t>C/26268/2023 PAR CES MOTIFS, La Chambre civile :</w:t>
      </w:r>
    </w:p>
    <w:p>
      <w:r>
        <w:t>A la forme : Déclare recevable le recours interjeté par A______ SARL contre le jugement JTPI/4894/2024 rendu le 22 avril 2024 par le Tribunal de première instance dans la cause C/26268/2023–23 SML. Au fond : Rejette ce recours. Déboute les parties de toutes autres conclusions. Sur les frais : Met à la charge de A______ SARL les frais judiciaires de recours, arrêtés à 1'125 fr. et compensés avec l'avance versée, acquise à l'Etat de Genève. Condamne A______ SARL à verser 1'500 fr. à B______ à titre de dépens de recours. Siégeant : Monsieur Laurent RIEBEN, président; Madame Fabienne GEISINGER-MARIETHOZ, Monsieur Ivo BUETTI, juges; Madame Barbara NEVEUX, greffière. Le président : Laurent RIEBEN</w:t>
      </w:r>
    </w:p>
    <w:p>
      <w:r>
        <w:t>La greffière : Barbara NEVEUX</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