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ACJC/1473/2013 vom 12. September 2013</w:t>
      </w:r>
    </w:p>
    <w:p>
      <w:r>
        <w:t>GE Cour de justice, 2013-09-12, FR</w:t>
      </w:r>
    </w:p>
    <w:p>
      <w:r>
        <w:rPr>
          <w:b/>
        </w:rPr>
        <w:t xml:space="preserve">Quelle: </w:t>
      </w:r>
      <w:r>
        <w:t>https://mcp.opencaselaw.ch/entscheid/ge_gerichte_ACJC_1473_2013</w:t>
      </w:r>
    </w:p>
    <w:p>
      <w:r>
        <w:t>FR: GE_GERICHTE ACJC/1473/2013 du 12 septembre 2013</w:t>
      </w:r>
    </w:p>
    <w:p>
      <w:r>
        <w:t>IT: GE_GERICHTE ACJC/1473/2013 del 12 settembre 2013</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les dernières conclusions des parties devant le premier juge portaient sur la réduction du montant des contributions d'entretien dues par l'appelant de 1'100 fr. à 600 fr. par mois, soit une prétention patrimoniale de plus de 10'000 fr.</w:t>
      </w:r>
    </w:p>
    <w:p>
      <w:r>
        <w:t>- 5/11 -</w:t>
      </w:r>
    </w:p>
    <w:p>
      <w:r>
        <w:t>C/5666/2013 compte tenu de la durée indéterminée des versements (500 fr. x 12 x 20; art. 92 al. 2 CPC). La voie de l'appel est donc ouverte.</w:t>
      </w:r>
    </w:p>
    <w:p>
      <w:r>
        <w:rPr>
          <w:b/>
        </w:rPr>
        <w:t>E. 1.2</w:t>
      </w:r>
    </w:p>
    <w:p>
      <w:r>
        <w:t>Interjeté dans le délai de dix jours (142 al. 1,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la fille des parties est mineure et les pièces nouvellement produites en appel se rapportent aux aspects patrimoniaux de la contribution due notamment à l'entretien de celle-ci. La recevabilité desdites pièces doit par conséquent être admise, ce d'autant que nombre d'entre elles sont postérieures à la date à laquelle le premier juge a gardé la cause à juger. 3. 3.1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En ce qui concerne plus précisément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3.2 En l'espèce l'appelant soutient que la décision entreprise consacrerait une violation de son droit d'être entendu, dans la mesure où le premier juge n'aurait pas examiné sa requête, ni ses moyens de preuves ni ses arguments de fait.</w:t>
      </w:r>
    </w:p>
    <w:p>
      <w:r>
        <w:t>- 7/11 -</w:t>
      </w:r>
    </w:p>
    <w:p>
      <w:r>
        <w:t>C/5666/2013 Contrairement à ce que soutient l'appelant, le premier juge n'a pas refusé d'entrer en matière sur sa requête de mesures provisionnelles au motif que la situation des parties faisait déjà l'objet d'une décision de mesures protectrices de l'union conjugale. Le premier juge a notamment modifié le droit de visite de l'appelant conformément aux recommandations du SPMi et à l'accord des parties. S'il n'a effectivement pas réduit le montant de la contribution due par le cité à l'entretien de sa famille, il l'a fait après avoir comparé, de manière certes succincte mais néanmoins compatible avec les exigences de motivation applicables en matière de mesures provisionnelles, la situation des parties telle qu'elle lui était soumise avec celle qui prévalait lors du prononcé des mesures protectrices de l'union conjugale. C'est après avoir constaté que cette situation n'avait pas subi de changement significatif depuis ledit prononcé, qui était effectivement récent, que le premier juge a considéré qu'il n'y avait pas lieu de modifier le montant de la contribution d'entretien litigieuse. Aucune violation du droit d'être entendu de l'appelant ne peut être retenue en relation avec ce qui précède. L'appelant ne démontre par ailleurs pas quel élément de preuve preuve propre à modifier la décision aurait été ignoré ou apprécié d'une manière arbitraire par le premier le premier juge, de sorte que les conclusions de celui-ci seraient insoutenables. Les griefs de l'appelant tirés de l'arbitraire et de la violation de son droit d'être entendu doivent par conséquent être écartés. 4. 4.1 Sur le fond, l'appelant conteste être tenu de contribuer à l'entretien de son épouse en sus de celui de sa fille. 4.1.1 Même lorsqu'on ne peut plus sérieusement compter sur la reprise de la vie commune, l'art. 163 CC demeure la cause de l'obligation d'entretien réciproque des époux (ATF 137 III 385 consid. 3.1; 130 III 537 consid. 3.2). Pour fixer la contribution d'entretien,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procéder à un "mini-procès" en divorce: il ne doit pas trancher, même sous l'angle de la vraisemblance, les questions de fond, objet du procès en divorce, en</w:t>
      </w:r>
    </w:p>
    <w:p>
      <w:r>
        <w:t>- 8/11 -</w:t>
      </w:r>
    </w:p>
    <w:p>
      <w:r>
        <w:t>C/5666/2013 particulier celle de savoir si le mariage a influencé concrètement la situation financière du conjoint (ATF 137 III 385 consid. 3.1, précisant l'ATF 128 III 65; arrêts du Tribunal fédéral 5A_218/2012 du 29 juin 2012 consid. 3.3.1; 5A_720/2011 du 8 mars 2012 consid. 4.1.1; 5A_236/2011 du 18 octobre 2011 consid. 4.2.3). 4.1.2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Le juge du divorce est compétent pour prononcer leur modification ou leur révocation (art. 276 al. 2 CPC).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5A_720/2011 cité consid. 4.1.2; 5A_502/2010 du 25 juillet 2011 consid. 3.2.2).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arrêts du Tribunal fédéral 5A_720/2011 cité consid. 4.1.2; 5A_730/2008 du 22 décembre 2008 consid. 3.1 et les arrêts cités). 4.2 En l'espèce, l'appelant reproche principalement à l'intimée d'avoir cessé d'exercer une activité lucrative régulière pour poursuivre un apprentissage. A cet égard, la Cour constate que ce changement n'entraîne pour l'intimée qu'une faible diminution de son revenu, celui-ci passant de 1'430 fr. net à 1'400 fr. brut, soit un peu plus de 1'200 fr. net, par mois. Les allégations de l'appelant selon lesquelles l'intimée serait en mesure de réaliser des revenus supérieurs, dès lors qu'elle a obtenu des revenus pratiquement similaires aux siens en 2010, ne peuvent être suivies. Outre que la réalisation antérieure de tels revenus par l'intimée n'est pas établie, les pièces auxquelles se réfère l'appelant n'étant que des arrangements fiscaux sans indication du revenu imposable, il faut tenir compte du fait que l'intimée assume désormais la garde de la fille mineure des époux, laquelle est encore en bas âge. On ne saurait dès lors raisonnablement exiger de l'intimée qu'elle exerce parallèlement une activité lucrative régulière à plein temps. En l'occurrence, l'intimée rend également vraisemblable qu'elle a dû changer</w:t>
      </w:r>
    </w:p>
    <w:p>
      <w:r>
        <w:t>- 9/11 -</w:t>
      </w:r>
    </w:p>
    <w:p>
      <w:r>
        <w:t>C/5666/2013 d'orientation professionnelle - et pour cela entreprendre une nouvelle formation - pour des raisons de santé. Il n'y a dès lors pas lieu d'admettre à ce stade que l'intimée aurait délibérément renoncé à mettre à profit sa capacité de gain, ni d'exiger d'elle qu'elle renonce à son apprentissage pour reprendre une activité semblable à celle qu'elle exerçait lors du prononcé des mesures protectrices de l'union conjugale. Le fait que l'intimée possède un véhicule dont les mensualités de leasing paraissent excessivement élevées au regard de ses revenus ne permet par ailleurs pas de retenir que l'intimée disposerait de ressources supplémentaires, autres que le soutien admis par l'intimée de ses parents en relation avec ledit véhicule. La disposition d'un véhicule ne doit par ailleurs pas nécessairement être écartée des charges incompressibles de l'intimée, dès lors que celle-ci ne dispose plus d'un abonnement aux transports publics par le biais de son employeur et qu'elle poursuit un apprentissage tout en assumant la garde de la fille mineure des époux. Un montant plus raisonnable, de l'ordre de 300 fr. par mois, peut notamment être inclus dans les charges de l'intimée à ce titre, portant le total de celles-ci à 3'970 fr. par mois. Il s'ensuit que le budget mensuel de l'intimée présente actuellement un déficit de l'ordre de 2'760 fr. par mois (1'210 fr. – 3'970 fr.), qui ne diffère pas significativement du déficit mensuel de 2'730 fr. constaté lors du prononcé des mesures protectrices de l'union conjugale (1'430 fr. – 4'160 fr.). La situation de l'intimée étant ainsi globalement inchangée, c'est à bon droit que le premier juge a estimé que l'appelant pouvait demeurer tenu de contribuer à l'entretien de son épouse, et non seulement à celui de sa fille. Une telle contribution est notamment conforme aux principes rappelés ci-dessus, même si l'on ne peut plus compter sur une reprise de la vie commune et même si l'intimée ne réclame pas sur le fond de contribution post-divorce à son entretien. Au surplus, la situation de l'appelant n'apparaît pas non plus avoir subi de changement significatif depuis le prononcé des mesures protectrices de l'union conjugale. Si ses charges incompressibles paraissent avoir légèrement augmenté, passant de 2'890 fr. à 3'140 fr. par mois, il semble également que les revenus de l'appelant soient en augmentation, puisqu'il a perçu une somme de 54'521 fr. net pour les mois de janvier à septembre 2013, soit un salaire net moyen de 6'060 fr. net par mois, contre 5'170 fr. net par mois précédemment. Même en faisant abstraction de la somme de 4'175 fr. brut perçue à titre de rémunération d'heures supplémentaires, soit 3'675 fr. net sous déduction des charges au prorata, le salaire perçu par l'appelant sur les neuf premiers mois de l'année 2013 s'élève encore à 50'846 fr. net (54'521 fr. – 3'675 fr.), soit une moyenne de 5'650 fr. net par mois. Comme précédemment, le solde disponible de l'appelant s'élève ainsi en tous les cas à plus de 2'000 fr. par mois (5'650 fr. – 3'140 fr.), ce qui lui permet de</w:t>
      </w:r>
    </w:p>
    <w:p>
      <w:r>
        <w:t>- 10/11 -</w:t>
      </w:r>
    </w:p>
    <w:p>
      <w:r>
        <w:t>C/5666/2013 s'acquitter de la contribution litigieuse de 1'100 fr. par mois sans porter atteinte à son minimum vital élargi. Par conséquent, l'appelant sera débouté de ses conclusions tendant à la réduction du montant des contributions dues à l'entretien de sa famille et l'ordonnance entreprise sera intégralement confirmée.</w:t>
      </w:r>
    </w:p>
    <w:p>
      <w:r>
        <w:rPr>
          <w:b/>
        </w:rPr>
        <w:t>E. 5</w:t>
      </w:r>
    </w:p>
    <w:p>
      <w:r>
        <w:t>Les frais judiciaires de l'appel seront mis à la charge de l'appelant, qui succombe pour l'essentiel (art. 95 et 106 al. 1 CPC). L'émolument de décision sera fixé à 800 fr. (art. 31 et 37 RTFMC) et sera compensé avec l'avance de frais de même montant fournie par l'appelant, qui reste acquise à l'Etat (art. 111 al. 1 CPC). Pour des motifs d'équité liés à la nature du litige, les parties conserveront à leur charge leur propres dépens (art 107 al. 1 let. c CPC).</w:t>
      </w:r>
    </w:p>
    <w:p>
      <w:r>
        <w:rPr>
          <w:b/>
        </w:rPr>
        <w:t>E. 6</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- 11/11 -</w:t>
      </w:r>
    </w:p>
    <w:p>
      <w:r>
        <w:t>C/5666/2013 PAR CES MOTIFS, La Chambre civile : A la forme : Déclare recevable l'appel interjeté par A______ contre l'ordonnance OTPI/1250/2013 rendue le 12 septembre 2013 par le Tribunal de première instance dans la cause C/5666/2013-10. Au fond : Confirme l'ordonnance entreprise. Déboute les parties de toutes autres conclusions. Sur les frais : Arrête les frais judiciaires d'appel à 800 fr. et les met à la charge de A______. Dit que les frais judiciaires sont compensés avec l'avance de frais de même montant fournie par A______, qui reste acquise à l'Etat. Dit que chaque partie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