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ACJC/1472/2015 vom 4. Dezember 2015</w:t>
      </w:r>
    </w:p>
    <w:p>
      <w:r>
        <w:t>GE Cour de justice, 2015-12-04, FR</w:t>
      </w:r>
    </w:p>
    <w:p>
      <w:r>
        <w:rPr>
          <w:b/>
        </w:rPr>
        <w:t xml:space="preserve">Quelle: </w:t>
      </w:r>
      <w:r>
        <w:t>https://mcp.opencaselaw.ch/entscheid/ge_gerichte_ACJC_1472_2015</w:t>
      </w:r>
    </w:p>
    <w:p>
      <w:r>
        <w:t>FR: GE_GERICHTE ACJC/1472/2015 du 4 décembre 2015</w:t>
      </w:r>
    </w:p>
    <w:p>
      <w:r>
        <w:t>IT: GE_GERICHTE ACJC/1472/2015 del 4 dicembre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Contrairement à ce que semble soutenir l'intimée, le recours est ouvert également à la partie qui a fait défaut en première instance (TAPPY, Les décisions par défaut. Les voies de droit et les remèdes aux décisions par défaut, in Procédure civile suisse, Neuchâtel 2010, p. 409 ss, n° 95). Ainsi, en l'espèce, le recours du 31 août 2015, interjeté dans le délai et la forme prévus par la loi, est recevable. Il en va de même du recours interjeté le 3 août 2015 (art. 56 ch. 2 LP).</w:t>
      </w:r>
    </w:p>
    <w:p>
      <w:r>
        <w:rPr>
          <w:b/>
        </w:rPr>
        <w:t>E. 1.2</w:t>
      </w:r>
    </w:p>
    <w:p>
      <w:r>
        <w:t>Il sera donné acte aux recourants de ce qu'ils ont retiré le recours du 3 août 2015, lequel est devenu sans objet à la suite de l'ordonnance du Tribunal du 6 août 2015.</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t>- 6/9 -</w:t>
      </w:r>
    </w:p>
    <w:p>
      <w:r>
        <w:t>C/20824/2014</w:t>
      </w:r>
    </w:p>
    <w:p>
      <w:r>
        <w:rPr>
          <w:b/>
        </w:rPr>
        <w:t>E. 1.4</w:t>
      </w:r>
    </w:p>
    <w:p>
      <w:r>
        <w:t>La procédure de mainlevée étant instruite en procédure sommaire, la maxime des débats s'applique (art. 55 al. 1 et art. 255 let. a a contrario CPC) et la preuve des faits allégués doit être apportée par titres (art. 254 CPC).</w:t>
      </w:r>
    </w:p>
    <w:p>
      <w:r>
        <w:rPr>
          <w:b/>
        </w:rPr>
        <w:t>E. 2.1</w:t>
      </w:r>
    </w:p>
    <w:p>
      <w:r>
        <w:t>Les conclusions, allégations de fait et preuves nouvelles sont irrecevables (art. 326 al. 1 CPC). L'art. 326 al. 2 CPC réserve les dispositions légales spéciales; aucune exception au principe de l'exclusion des allégations de faits et preuves nouvelles n'est cependant prévue par la loi pour les procédures de mainlevée. Les faits notoires, tels ceux résultant d'inscriptions figurant au Registre du commerce ou de publications dans la Feuille officielle suisse du commerce (arrêt du Tribunal fédéral 5A_62/2009 du 2 juillet 2009 consid. 2.1) ne doivent pas être prouvés (art. 151 CPC).</w:t>
      </w:r>
    </w:p>
    <w:p>
      <w:r>
        <w:rPr>
          <w:b/>
        </w:rPr>
        <w:t>E. 2.2</w:t>
      </w:r>
    </w:p>
    <w:p>
      <w:r>
        <w:t>En l'espèce, les pièces produites par les recourants sont irrecevables, ainsi que les allégués de fait s'y rapportant, à l'exception des extraits de la Feuille officielle suisse du commerce qui concernent des faits notoires, lesquels ne sont cependant pas déterminants pour la solution du litige.</w:t>
      </w:r>
    </w:p>
    <w:p>
      <w:r>
        <w:rPr>
          <w:b/>
        </w:rPr>
        <w:t>E. 3</w:t>
      </w:r>
    </w:p>
    <w:p>
      <w:r>
        <w:t>Les recourants font valoir que le commandement de payer n° 5______ serait vicié, dans la mesure où il n'a pas été notifié au domicile du débiteur.</w:t>
      </w:r>
    </w:p>
    <w:p>
      <w:r>
        <w:rPr>
          <w:b/>
        </w:rPr>
        <w:t>E. 3.1</w:t>
      </w:r>
    </w:p>
    <w:p>
      <w:r>
        <w:t>Le for ordinaire de la poursuite est au domicile du débiteur (art. 46 al. 1 LP).</w:t>
      </w:r>
    </w:p>
    <w:p>
      <w:r>
        <w:t>Le moyen pris de ce que la poursuite a été introduite à un for irrégulier ressortit exclusivement à l'autorité de surveillance et, dès lors, ne peut être pris en considération par le juge de la mainlevée (ATF 120 III 7 consid. 3; arrêt du Tribunal fédéral 5A_414/2010 du 20 août 2010 consid. 2.2; GILLIÉRON, Commentaire de la LP, vol. I, 1999, n. 32 ad art. 46-55 LP; PANCHAUD/CAPREZ, Die Rechtsöffnung, La mainlevée d'opposition, 1980, § 44 p. 102). Autrement dit, le poursuivi, qui n'a pas attaqué par la voie de la plainte dirigée contre la notification du commandement de payer la compétence ratione loci de l'office des poursuites qui a rédigé, notifié ou fait notifier le commandement de payer, n'est pas recevable à soulever ce moyen dans la procédure sommaire d'annulation de l'opposition par la mainlevée (ATF 76 I 45 consid. 3; GILLIÉRON, op. cit., n. 24 ad art. 84 LP).</w:t>
      </w:r>
    </w:p>
    <w:p>
      <w:r>
        <w:rPr>
          <w:b/>
        </w:rPr>
        <w:t>E. 3.2</w:t>
      </w:r>
    </w:p>
    <w:p>
      <w:r>
        <w:t>Au vu de ce qui précède, le grief des recourants n'a pas à être examiné par le juge de la mainlevée.</w:t>
      </w:r>
    </w:p>
    <w:p>
      <w:r>
        <w:rPr>
          <w:b/>
        </w:rPr>
        <w:t>E. 4</w:t>
      </w:r>
    </w:p>
    <w:p>
      <w:r>
        <w:t>Les recourants font valoir que la requête de mainlevée aurait dû être rejetée, au motif que l'intimée n'a pas produit une reconnaissance de dette relative à la créance de 9'390'604 fr. 57 déduite en poursuite, résultant du contrat de crédit en compte courant.</w:t>
      </w:r>
    </w:p>
    <w:p>
      <w:r>
        <w:t>- 7/9 -</w:t>
      </w:r>
    </w:p>
    <w:p>
      <w:r>
        <w:t>C/20824/2014</w:t>
      </w:r>
    </w:p>
    <w:p>
      <w:r>
        <w:rPr>
          <w:b/>
        </w:rPr>
        <w:t>E. 4.1</w:t>
      </w:r>
    </w:p>
    <w:p>
      <w:r>
        <w:t>La cédule hypothécaire est une créance personnelle garantie par un gage immobilier (art. 842 al. 1 CC; Message du 27 juin 2007 concernant la révision du Code civil suisse [Cédule hypothécaire de registre et autres modifications des droits réels], FF 2007 5015 ss, 5053 ch. 2.2.2.3). Il s'agit d'un papier-valeur qui incorpore à la fois la créance et le droit de gage immobilier, qui en est l'accessoire (ATF 140 III 180 consid. 5.1). La créance abstraite incorporée dans la cédule hypothécaire et garantie par le gage immobilier doit faire l'objet d'une poursuite en réalisation de gage immobilier tandis que la créance causale doit faire l'objet d'une poursuite ordinaire (ATF 140 III 180 consid. 5.2; 136 III 288 consid. 3.1 et les arrêts cités; 134 III 71 consid. 3 = JdT 2007 II 51).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 du Tribunal fédéral 5A_226/2007 du 20 novembre 2007 consid. 5.1 et les références). Le créancier n'a donc pas à produire une reconnaissance de dette pour la créance causale (ATF 140 III 180 consid. 5.1.2). Lorsque la créance causale et la créance abstraite coexistent, le poursuivant ne saurait obtenir la mainlevée dans la poursuite en réalisation de gage immobilier si la créance causale n'est pas exigible (ATF 140 III 180 consid. 5.2.2). En effet, la créance abstraite a une fonction de garantie de la créance causale, de sorte que cette fonction de garantie ne saurait déployer d'effets lorsque la créance causale n'est pas exigible. Il faut se référer au contrat et aux conditions de dénonciation fixées pour déterminer si la créance causale est exigible. Le poursuivi peut invoquer l'inexigibilité de la créance causale comme moyen libératoire (DENYS, Cédule hypothécaire et mainlevée, in JdT 2008 II 3 ss, p. 15 et 16). Si la créance causale est d'un montant inférieur à celui de la créance abstraite, la mainlevée provisoire ne pourra être accordée qu'à concurrence de la créance causale. Cela étant, la créance causale n'est pas la créance en poursuite. Il n'est donc pas nécessaire d'avoir un titre de mainlevée pour cette créance. Le cas échéant, c'est au poursuivi qu'il incombe de tirer des moyens de défense de la créance causale, par exemple en faisant valoir qu'elle est éteinte ou que son montant est inférieur à la créance abstraite (DENYS, op. cit., p. 16).</w:t>
      </w:r>
    </w:p>
    <w:p>
      <w:r>
        <w:rPr>
          <w:b/>
        </w:rPr>
        <w:t>E. 4.2</w:t>
      </w:r>
    </w:p>
    <w:p>
      <w:r>
        <w:t>En l'espèce, le Tribunal a prononcé la mainlevée provisoire à concurrence du montant de la créance causale de 9'390'604 fr. 57, inférieure à la créance abstraite de 11'500'000 fr. Les recourants ne contestent pas l'exigibilité de ladite créance causale. Ils ne font pas non plus valoir qu'ils auraient remboursé tout ou partie de leur dette. Contrairement à ce qu'ils soutiennent, l'intimée n'avait pas à produire une reconnaissance de dette spécifique pour la créance causale, la cédule hypothécaire du 4 mai 2011 constituant un titre de mainlevée suffisant.</w:t>
      </w:r>
    </w:p>
    <w:p>
      <w:r>
        <w:t>- 8/9 -</w:t>
      </w:r>
    </w:p>
    <w:p>
      <w:r>
        <w:t>C/20824/2014 Le grief des recourants est ainsi infondé. Dans la mesure où la réalisation des autres conditions permettant à l'intimée d'obtenir la mainlevée ne sont pas contestées, le recours du 31 août 2015 sera rejeté.</w:t>
      </w:r>
    </w:p>
    <w:p>
      <w:r>
        <w:rPr>
          <w:b/>
        </w:rPr>
        <w:t>E. 5</w:t>
      </w:r>
    </w:p>
    <w:p>
      <w:r>
        <w:t>Les recourants, qui succombent, supporteront, conjointement et solidairement, les frais de la présente procédure (art. 106 al. 1 CPC). Les frais judiciaires à leur charge seront arrêtés à 2'250 fr. (art. 48 et 61 al. 1 OELP), compensés avec l'avance de frais fournie, laquelle est acquise à l'Etat (art. 111 al. 1 CPC), et les dépens en faveur de l'intimée à 4'500 fr., débours et TVA compris (art. 95 al. 1 let. b, 104 al. 1, 105 al. 2 et 106 al. 1 CPC; art. 20 et 21 LaCC; art. 84, 85, 89 et 90 du règlement du 22 décembre 2010 fixant le tarif des frais en matière civile - RTFMC - E 1 05.10). * * * * *</w:t>
      </w:r>
    </w:p>
    <w:p>
      <w:r>
        <w:t>- 9/9 -</w:t>
      </w:r>
    </w:p>
    <w:p>
      <w:r>
        <w:t>C/20824/2014 PAR CES MOTIFS, La Chambre civile : A la forme : Déclare recevables les recours interjetés les 3 août 2015 et 31 août 2015 par A______ et B______ contre le jugement JTPI/8036/2015 rendu le 6 juillet 2015 par le Tribunal de première instance dans la cause C/20824/2014-11 SML. Au fond : Prend acte du retrait du recours du 3 août 2015. Rejette le recours du 31 août 2015. Déboute les parties de toutes autres conclusions. Sur les frais : Arrête les frais judiciaires du recours à 2'250 fr., les met à la charge de A______ et B______ et les compense avec l'avance fournie par ceux-ci, laquelle reste acquise à l'Etat de Genève. Condamne A______ et B______, conjointement et solidairement, à verser à la C______ 4'500 fr.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