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ACJC/1470/2015 vom 13. April 2015</w:t>
      </w:r>
    </w:p>
    <w:p>
      <w:r>
        <w:t>GE Cour de justice, 2015-04-13, FR</w:t>
      </w:r>
    </w:p>
    <w:p>
      <w:r>
        <w:rPr>
          <w:b/>
        </w:rPr>
        <w:t xml:space="preserve">Quelle: </w:t>
      </w:r>
      <w:r>
        <w:t>https://mcp.opencaselaw.ch/entscheid/ge_gerichte_ACJC_1470_2015</w:t>
      </w:r>
    </w:p>
    <w:p>
      <w:r>
        <w:t>FR: GE_GERICHTE ACJC/1470/2015 du 13 avril 2015</w:t>
      </w:r>
    </w:p>
    <w:p>
      <w:r>
        <w:t>IT: GE_GERICHTE ACJC/1470/2015 del 13 aprile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2.1</w:t>
      </w:r>
    </w:p>
    <w:p>
      <w:r>
        <w:t>A teneur de l'art. 265a al. 1 LP, si le débiteur fait opposition au commandement de payer en contestant son retour à meilleure fortune, l'Office soumet l'opposition au juge du for de la poursuite. Le créancier n'est pas recevable à requérir la mainlevée de l'opposition dirigée contre la créance avant que n'ait été rendu un jugement déclarant partiellement ou totalement irrecevable l'opposition pour non-retour à meilleure fortune (art. 265a al. 3 LP; JEANDIN, Commentaire romand, n. 23, ad art. 265a LP).</w:t>
      </w:r>
    </w:p>
    <w:p>
      <w:r>
        <w:rPr>
          <w:b/>
        </w:rPr>
        <w:t>E. 2.2</w:t>
      </w:r>
    </w:p>
    <w:p>
      <w:r>
        <w:t>En l'espèce, la mainlevée de l'opposition formée au commandement de payer a été requise avant qu'il ait été statué sur la question de la recevabilité de l'opposition pour non-retour à meilleure fortune formée par le débiteur.</w:t>
      </w:r>
    </w:p>
    <w:p>
      <w:r>
        <w:t>- 4/5 -</w:t>
      </w:r>
    </w:p>
    <w:p>
      <w:r>
        <w:t>C/26896/2014 C'est par conséquent à juste titre que le Tribunal a débouté la recourante des fins de sa requête en mainlevée de l'opposition. Le jugement querellé devra dès lors être confirmé.</w:t>
      </w:r>
    </w:p>
    <w:p>
      <w:r>
        <w:rPr>
          <w:b/>
        </w:rPr>
        <w:t>E. 3</w:t>
      </w:r>
    </w:p>
    <w:p>
      <w:r>
        <w:t>Les frais sont mis à la charge de la partie succombante (art. 106 al. 1 CPC).</w:t>
      </w:r>
    </w:p>
    <w:p>
      <w:r>
        <w:t>En l'espèce, les frais du recours seront mis à la charge de la recourante qui succombe. Contrairement à ce qu'elle fait valoir, il ne se justifie pas de l'exempter du paiement des frais de recours, dans la mesure où l'intimé l'avait informée le 22 octobre 2014, soit avant le dépôt de la requête de mainlevée, du fait que son opposition était fondée sur le fait qu'il n'était pas revenu à meilleure fortune.</w:t>
      </w:r>
    </w:p>
    <w:p>
      <w:r>
        <w:t>Les frais judiciaires seront cependant réduits en équité pour tenir compte de l'erreur imputable à l'Office des poursuites (art. 7 RTFMC).</w:t>
      </w:r>
    </w:p>
    <w:p>
      <w:r>
        <w:t>Les frais judiciaires seront ainsi fixés à 500 fr. (art. 48 et 61 al. 1 OELP) et compensés avec l'avance fournie qui reste acquise à l'Etat de Genève à hauteur de ce montant (art. 111 al. 1 CPC), le solde en 625 fr. étant restitué à la recourante. Un montant de 1'500 fr., TVA et débours inclus, sera en outre alloué à l'intimé à titre de dépens (art. 85, 89 et 90 RTFMC; art. 25 et 26 LaCC). * * * * *</w:t>
      </w:r>
    </w:p>
    <w:p>
      <w:r>
        <w:t>- 5/5 -</w:t>
      </w:r>
    </w:p>
    <w:p>
      <w:r>
        <w:t>C/26896/2014 PAR CES MOTIFS, La Chambre civile : A la forme : Déclare recevable le recours interjeté le 6 mai 2015 par A______ contre le jugement JTPI/4258/2015 rendu le 13 avril 2015 par le Tribunal de première instance dans la cause C/26896/2014-JS SML. Au fond : Le rejette. Déboute les parties de toutes autres conclusions. Sur les frais : Arrête les frais judiciaires à 500 fr. Les met à charge de A______ et les compense avec l'avance de frais fournie par cette dernière, laquelle reste acquise à l'Etat de Genève à due concurrence. Invite les Services financiers du Pouvoir judiciaire à restituer à A______ le solde en 625 fr. de l'avance versée. Condamne A______ à verser à B______ 1'500 fr. à titre de dépens. Siégeant : Madame Nathalie LANDRY-BARTHE, présidente; Monsieur Patrick CHENAUX et Madame Fabienne GEISINGER-MARIÉTHOZ,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