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ACJC/146/2017 vom 10. Februar 2017</w:t>
      </w:r>
    </w:p>
    <w:p>
      <w:r>
        <w:t>GE Cour de justice, 2017-02-10, FR</w:t>
      </w:r>
    </w:p>
    <w:p>
      <w:r>
        <w:rPr>
          <w:b/>
        </w:rPr>
        <w:t xml:space="preserve">Quelle: </w:t>
      </w:r>
      <w:r>
        <w:t>https://mcp.opencaselaw.ch/entscheid/ge_gerichte_ACJC_146_2017</w:t>
      </w:r>
    </w:p>
    <w:p>
      <w:r>
        <w:t>FR: GE_GERICHTE ACJC/146/2017 du 10 février 2017</w:t>
      </w:r>
    </w:p>
    <w:p>
      <w:r>
        <w:t>IT: GE_GERICHTE ACJC/146/2017 del 10 febbraio 2017</w:t>
      </w:r>
    </w:p>
    <w:p>
      <w:pPr>
        <w:pStyle w:val="Heading2"/>
      </w:pPr>
      <w:r>
        <w:t>Erwägungen</w:t>
      </w:r>
    </w:p>
    <w:p>
      <w:r>
        <w:rPr>
          <w:b/>
        </w:rPr>
        <w:t>E. 1</w:t>
      </w:r>
    </w:p>
    <w:p>
      <w:r>
        <w:t>Le présent litige a un caractère international en raison du siège de l'intimée au Luxembourg et en raison de l'existence d'une décision judiciaire en matière civile rendue en 2015 en Grande-Bretagne, entre les parties à la présente procédure.</w:t>
      </w:r>
    </w:p>
    <w:p>
      <w:r>
        <w:rPr>
          <w:b/>
        </w:rPr>
        <w:t>E. 1.1</w:t>
      </w:r>
    </w:p>
    <w:p>
      <w:r>
        <w:t>La Convention du 30 octobre 2007 concernant la compétence judiciaire, la reconnaissance et l'exécution des décisions en matière civile et commerciale (ci-après : CL; RS 0.275.12) est entrée en vigueur le 1er janvier 2011 pour la Suisse et le 1er janvier 2010 pour les pays de la Communauté européenne, dont le Luxembourg et la Grande-Bretagne.</w:t>
      </w:r>
    </w:p>
    <w:p>
      <w:r>
        <w:rPr>
          <w:b/>
        </w:rPr>
        <w:t>E. 1.2</w:t>
      </w:r>
    </w:p>
    <w:p>
      <w:r>
        <w:t>Cette convention est donc applicable, s'agissant de la reconnaissance et de l'exécution en Suisse des décisions judiciaires rendues en Grande-Bretagne entre la recourante, domiciliée à Genève, et l'intimée, domicilié au Luxembourg.</w:t>
      </w:r>
    </w:p>
    <w:p>
      <w:r>
        <w:rPr>
          <w:b/>
        </w:rPr>
        <w:t>E. 2.1</w:t>
      </w:r>
    </w:p>
    <w:p>
      <w:r>
        <w:t>En matière de mainlevée d'opposition, seule la voie du recours est ouverte (art. 319 let. a, art. 309 let. b ch. 3 CPC).</w:t>
      </w:r>
    </w:p>
    <w:p>
      <w:r>
        <w:t>Il en va de même en matière d'exécution d'une décision étrangère selon la CL (art. 319 let. a, art. 309 let. a, art. 327a CPC).</w:t>
      </w:r>
    </w:p>
    <w:p>
      <w:r>
        <w:t>2.2.1 Le délai de recours est de dix jours pour les décisions prises en procédure sommaire, à moins que la loi n'en dispose autrement (art. 321 al. 2 CPC).</w:t>
      </w:r>
    </w:p>
    <w:p>
      <w:r>
        <w:t>En matière de mainlevée d'opposition, la procédure sommaire s'applique (art. 251 let. a CPC). A défaut d'une disposition légale spéciale, le délai de recours est ainsi de dix jours (art. 321 al. 2 CPC).</w:t>
      </w:r>
    </w:p>
    <w:p>
      <w:r>
        <w:t>En revanche, en matière d'exécution d'une décision étrangère selon la CL, la procédure sommaire est certes applicable (art. 339 al. 2 CPC) mais, en vertu de l'art. 327a al. 3 CPC qui renvoie à l'art. 43 ch. 5 CL, le délai de recours est d'un mois si la partie contre laquelle l'exécution est demandée est domiciliée en Suisse, et de deux mois, si la partie contre laquelle l'exécution est demandée est domiciliée sur le territoire d'un autre Etat lié par la présente Convention que celui dans lequel la déclaration constatant la force exécutoire a été délivrée. Par ailleurs, en matière de mainlevée d'opposition, le recours ne suspend pas automatiquement</w:t>
      </w:r>
    </w:p>
    <w:p>
      <w:r>
        <w:t>- 6/15 -</w:t>
      </w:r>
    </w:p>
    <w:p>
      <w:r>
        <w:t>C/5925/2015 la force de chose jugée, ni le caractère exécutoire de la décision rendue en première instance (art. 325 al. 1 CPC), et la cognition de l'instance de recours est limitée à la constatation manifestement inexacte des faits (art. 320 let. b CPC), tandis qu'en matière d'exécution d'une décision étrangère selon la CL, le recours a un effet suspensif (art. 327a al. 2 CPC) et l'instance de recours examine avec un plein pouvoir de cognition les motifs de refus prévus par la CL (art. 327a al. 1 CPC).</w:t>
      </w:r>
    </w:p>
    <w:p>
      <w:r>
        <w:t>2.2.2 Le créancier au bénéfice d'une décision étrangère portant condamnation à payer une somme d'argent ou à constituer des sûretés (art. 38 al. 1 LP) rendue dans un Etat lié à la Suisse par la CL dispose de deux possibilités pour en obtenir l'exécution. La première consiste à introduire, devant le tribunal cantonal de l'exécution (art. 39 par. 1 CL et annexe II à la CL; à cet égard, il y a une différence avec l'ancienne Convention de Lugano de 1988 qui prévoyait la compétence du juge de la mainlevée), une procédure d'exequatur indépendante puis, après avoir obtenu l'exequatur dans cette procédure indépendante, le créancier demandera l'exécution proprement dite de la décision, par la voie de la poursuite pour dettes. La seconde possibilité consiste à introduire une poursuite pour dettes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et lèvera, le cas échéant, l'opposition au commandement de payer (HOFMANN/KUNZ, in Basler Kommentar Lugano-Übereinkommen, 2016, n. 289, 295 ad art. 38 CL; PLUTSCHOW, in Schnyder (éd.), Lugano-Übereinkommen [LugÜ] zum internationalen Zivilverfahrensrecht, Kommentar, 2011, n. 37 ad art. 38 CL; arrêt du Tribunal fédéral 5A_646/2013 du 9 janvier 2014 consid. 5.1 avec références, rendu sous le régime de l'ancienne Convention de Lugano de 1988). Invité à statuer sur l'exequatur à titre incident, le juge de la mainlevée le fait dans les motifs de son jugement; il n'a pas à se prononcer sur cette question dans le dispositif de celui-ci (arrêt précité consid. 5.1 avec références; HOFMANN/KUNZ, op. cit., n. 310 ad art. 38 CL; VOCK, in Hunkeler (éd.), Kurzkommentar SchKG, 2ème éd. 2014, n. 10 ad art. 80 LP).</w:t>
      </w:r>
    </w:p>
    <w:p>
      <w:r>
        <w:t>Il en va autrement lorsque le créancier conclut aussi à titre principal à l'exequatur, dans le sens d'un véritable cumul d'actions (art. 90 CPC; HOFMANN/KUNZ, n° 335 ss ad art. 38 CL; VOCK, loc. cit.). Le juge doit alors se prononcer sur l'exequatur à titre principal dans le dispositif de sa décision, et l'autorité de la chose jugée s'y attachera comme au dispositif d'une décision d'exequatur rendue par le tribunal de l'exécution, dans une procédure indépendante (HOFMANN/KUNZ, op. cit., n. 337 ad art. 38 CL; VOCK, loc. cit.).</w:t>
      </w:r>
    </w:p>
    <w:p>
      <w:r>
        <w:t>La décision commune pourra être attaquée par la voie du recours au sens étroit (art. 319 ss CPC), prévue tant en matière d'exequatur qu'en matière de mainlevée.</w:t>
      </w:r>
    </w:p>
    <w:p>
      <w:r>
        <w:t>- 7/15 -</w:t>
      </w:r>
    </w:p>
    <w:p>
      <w:r>
        <w:t>C/5925/2015 Une scission complète des voies de recours contre les deux parties de la décision commune ne s'impose pas. Toutefois, comme indiqué ci-dessus, des divergences formelles existent entre le recours en matière de mainlevée et celui en matière d'exequatur. En particulier, le délai de recours n'est pas le même.</w:t>
      </w:r>
    </w:p>
    <w:p>
      <w:r>
        <w:t>Afin de ne pas contourner la protection du débiteur poursuivi auquel la CL accorde un délai de recours plus long, il se justifie d'appliquer ce délai le plus long lorsque le recours porte tant sur l'exequatur que sur la mainlevée (HOFMANN/KUNZ, op. cit., n. 346 ad art. 38 CL). Cette solution s'impose d'ailleurs aussi dans l'intérêt de la sécurité du droit.</w:t>
      </w:r>
    </w:p>
    <w:p>
      <w:r>
        <w:t>2.2.3 Dans son dispositif, le jugement querellé a rejeté la demande d'exequatur en Suisse d'une décision de la High Court of Justice de Londres et la mainlevée définitive de l'opposition formée à un commandement de payer déterminé.</w:t>
      </w:r>
    </w:p>
    <w:p>
      <w:r>
        <w:t>La recourante est domiciliée en Suisse et le jugement attaqué par son recours indique que le délai de recours est de 10 jours à compter de sa notification. Toutefois, si, dans le cadre du recours, la déclaration de force exécutoire en Suisse de la décision étrangère est contestée, ce qui est le cas en l'espèce, ledit délai est de deux mois, compte tenu du domicile de l'intimée dans un autre Etat que celui dans lequel la déclaration constatant la force exécutoire a été délivrée.</w:t>
      </w:r>
    </w:p>
    <w:p>
      <w:r>
        <w:t>Dans ces conditions, le délai de deux mois s'applique.</w:t>
      </w:r>
    </w:p>
    <w:p>
      <w:r>
        <w:t>Le recours, écrit et motivé (art. 130, 131, 321 al. 1 CPC), adressé à la Cour de justice dans le délai en question, est donc recevable.</w:t>
      </w:r>
    </w:p>
    <w:p>
      <w:r>
        <w:rPr>
          <w:b/>
        </w:rPr>
        <w:t>E. 3.1</w:t>
      </w:r>
    </w:p>
    <w:p>
      <w:r>
        <w:t>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w:t>
      </w:r>
    </w:p>
    <w:p>
      <w:r>
        <w:rPr>
          <w:b/>
        </w:rPr>
        <w:t>E. 3.2</w:t>
      </w:r>
    </w:p>
    <w:p>
      <w:r>
        <w:t>Selon l'art. 327a al. 1 CPC, l'instance de recours examine avec un plein pouvoir de cognition les motifs de refus prévus par la CL.</w:t>
      </w:r>
    </w:p>
    <w:p>
      <w:r>
        <w:t>En effet, selon l'art. 45 par. 1 CL, la juridiction saisie d'un recours peut refuser ou révoquer l'exequatur pour l'un des motifs de refus prévus aux art. 34 et 35 CL tandis qu'auparavant,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w:t>
      </w:r>
    </w:p>
    <w:p>
      <w:r>
        <w:t>- 8/15 -</w:t>
      </w:r>
    </w:p>
    <w:p>
      <w:r>
        <w:t>C/5925/2015 recours les faits et moyens de preuve relatifs aux motifs de refus prévus aux art. 34 et 35 CL qu'il n'a pas pu invoquer en première instance.</w:t>
      </w:r>
    </w:p>
    <w:p>
      <w:r>
        <w:t>Toutefois, dans l'hypothèse où l'exequatur est requis dans une procédure contradictoire de mainlevée définitive (art. 81 al. 3 LP) et non pas dans une procédure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w:t>
      </w:r>
    </w:p>
    <w:p>
      <w:r>
        <w:t>Pour le surplus et en tout état, les faits nouveaux non pertinents pour les conditions de reconnaissance de la décision étrangère, selon les art. 34 et 35 CL, sont irrecevables en instance de recours.</w:t>
      </w:r>
    </w:p>
    <w:p>
      <w:r>
        <w:rPr>
          <w:b/>
        </w:rPr>
        <w:t>E. 3.3</w:t>
      </w:r>
    </w:p>
    <w:p>
      <w:r>
        <w:t>Par conséquent, les allégués nouveaux formés dans l'acte de recours et les pièces nouvellement produites par la recourante sont irrecevables.</w:t>
      </w:r>
    </w:p>
    <w:p>
      <w:r>
        <w:rPr>
          <w:b/>
        </w:rPr>
        <w:t>E. 4</w:t>
      </w:r>
    </w:p>
    <w:p>
      <w:r>
        <w:t>La recourante fait grief au premier juge d'avoir méconnu les conditions de l'exequatur de la décision anglaise.</w:t>
      </w:r>
    </w:p>
    <w:p>
      <w:r>
        <w:rPr>
          <w:b/>
        </w:rPr>
        <w:t>E. 4.1</w:t>
      </w:r>
    </w:p>
    <w:p>
      <w:r>
        <w:t>Selon l'art. 41 CL, la décision est déclarée exécutoire dès l'achèvement des formalités prévues à l'art. 53, sans examen au titre des art. 34 et 35. La partie contre laquelle l'exécution est demandée ne peut, en cet état de la procédure, présenter des observations.</w:t>
      </w:r>
    </w:p>
    <w:p>
      <w:r>
        <w:t>Depuis la révision de la CL, la procédure préalable d'exequatur consacrée à l'art. 41 CL est unilatérale en première instance et l'examen de l'autorité saisie est limité à "l'achèvement des formalités prévues à l'art. 53", à savoir la production de la décision et du certificat de l'art. 54 CL. Le contrôle des motifs de refus de la reconnaissance des art. 34 et 35 CL est entièrement reporté au stade du recours (art. 41 et 45 CL; 139 III 135 consid. 4.5.2), formé par le débiteur contre la décision constatant la force exécutoire de la décision (art. 45 CL; BUCHER, op. cit., n. 5 ad art. 41 CL). L'autorité de l'exequatur se transforme ainsi en simple office d'enregistrement, vérifiant l'accomplissement de certaines formalités, mais privé de tout regard sur l'existence d'une cause d'irrégularité, même si celle-ci est manifeste (BUCHER, loc. cit.).</w:t>
      </w:r>
    </w:p>
    <w:p>
      <w:r>
        <w:t>La partie qui invoque la reconnaissance d'une décision ou sollicite la délivrance d'une déclaration constatant sa force exécutoire doit produire une expédition de celle-ci réunissant les conditions nécessaires à son authenticité (art. 53 par. 1 CL).</w:t>
      </w:r>
    </w:p>
    <w:p>
      <w:r>
        <w:t>- 9/15 -</w:t>
      </w:r>
    </w:p>
    <w:p>
      <w:r>
        <w:t>C/5925/2015</w:t>
      </w:r>
    </w:p>
    <w:p>
      <w:r>
        <w:t>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2016, n. 4 ad art. 53 CL). En revanche, une simple photocopie ne suffit pas (arrêts du Tribunal fédéral 5A_59/2015 du 30 septembre 2015 consid. 4.2.1; 5A_241/2009 consid. 2.2; GELZER, loc. cit.; KILLIAS, loc. cit.; BUCHER, Commentaire romand, Loi sur le droit international privé, Convention de Lugano, 2011, n. 1 ad art. 53 CL).</w:t>
      </w:r>
    </w:p>
    <w:p>
      <w:r>
        <w:t>Il est produit une traduction des documents si la juridiction ou l'autorité compétente l'exige (art. 55 ch. 2 CL). Il n'existe pas une obligation générale de soumettre une traduction des documents accompagnant la requête en exécution (BUCHER, op. cit., n. 6 ad art. 55 CL).</w:t>
      </w:r>
    </w:p>
    <w:p>
      <w:r>
        <w:rPr>
          <w:b/>
        </w:rPr>
        <w:t>E. 4.2</w:t>
      </w:r>
    </w:p>
    <w:p>
      <w:r>
        <w:t>En l'espèce, la recourante a produit l'original de la décision dont la reconnaissance est requise, accompagné d'un certificat du 16 mars 2015, établi sur le modèle figurant à l'annexe V de la Convention attestant du caractère exécutoire de celle-ci par le Greffier de la High Court of Justice de Londres. Avec la recourante, la Cour retient que le Tribunal n'avait, à ce stade de la procédure, pas le pouvoir d'examiner la nature des créances reconnues par la High Court de Londres, ni la nature des rapports juridiques ayant lié les parties. Par ailleurs, le Tribunal n'a pas sollicité de la recourante la production de la traduction des titres versés à la procédure, de sorte que cette absence de production ne saurait être reprochée à la recourante. Par conséquent, c'est à tort que le premier juge n'a pas reconnu et déclaré exécutoire la décision anglaise du 2 février 2015.</w:t>
      </w:r>
    </w:p>
    <w:p>
      <w:r>
        <w:rPr>
          <w:b/>
        </w:rPr>
        <w:t>E. 4.3</w:t>
      </w:r>
    </w:p>
    <w:p>
      <w:r>
        <w:t>Le ch. 1 du dispositif du jugement entrepris sera, partant, annulé et la décision rendue par la High Court of Justice, Queen's Bench Division, Commercial Court du 2 février 2015 sera reconnue et déclarée exécutoire.</w:t>
      </w:r>
    </w:p>
    <w:p>
      <w:r>
        <w:rPr>
          <w:b/>
        </w:rPr>
        <w:t>E. 5</w:t>
      </w:r>
    </w:p>
    <w:p>
      <w:r>
        <w:t>La recourante se plaint de l'absence de prononcé de la mainlevée définitive au commandement de payer.</w:t>
      </w:r>
    </w:p>
    <w:p>
      <w:r>
        <w:rPr>
          <w:b/>
        </w:rPr>
        <w:t>E. 5.1</w:t>
      </w:r>
    </w:p>
    <w:p>
      <w:r>
        <w:t>Aux termes de l'art. 80 al. 1 LP, le créancier qui est au bénéfice d'un jugement exécutoire peut requérir du juge la mainlevée définitive de l'opposition.</w:t>
      </w:r>
    </w:p>
    <w:p>
      <w:r>
        <w:t>Le jugement doit être exécutoire, émaner d'un tribunal au sens de l'art. 122 al. 3 Cst., rendu dans une procédure contradictoire, et condamner le poursuivi à payer une somme d'argent (SCHMIDT, Commentaire romand, LP, 2005, n. 3, 4 et 6 ad art. 80 LP).</w:t>
      </w:r>
    </w:p>
    <w:p>
      <w:r>
        <w:t>Le juge doit vérifier d'office l'identité du poursuivant et du créancier et l'identité du poursuivi et du débiteur désignés dans le titre de mainlevée, ainsi que l'identité</w:t>
      </w:r>
    </w:p>
    <w:p>
      <w:r>
        <w:t>- 10/15 -</w:t>
      </w:r>
    </w:p>
    <w:p>
      <w:r>
        <w:t>C/5925/2015 de la créance déduite en poursuite et de la dette constatée par jugement (GILLIERON, Commentaire de la loi fédérale sur la poursuite pour dettes et la faillite, 1999, n. 13 ad art. 81 LP, arrêt du Tribunal fédéral 5P.174/2005 du</w:t>
      </w:r>
    </w:p>
    <w:p>
      <w:r>
        <w:rPr>
          <w:b/>
        </w:rPr>
        <w:t>E. 5.2</w:t>
      </w:r>
    </w:p>
    <w:p>
      <w:r>
        <w:t>Dans le présent cas, la recourante a fondé la poursuite sur le "settlement agreement" du 11 septembre 2013, tel que cela figure dans la rubrique du titre de la créance du commandement de payer. La recourante fonde toutefois sa requête de mainlevée sur la décision rendue par le juge anglais le 2 février 2015. Il n'existe dès lors pas d'identité entre la créance déduite en poursuite et la dette constatée par jugement. C'est dès lors à bon droit que le Tribunal a débouté la recourante de ses conclusions sur ce point.</w:t>
      </w:r>
    </w:p>
    <w:p>
      <w:r>
        <w:rPr>
          <w:b/>
        </w:rPr>
        <w:t>E. 5.3</w:t>
      </w:r>
    </w:p>
    <w:p>
      <w:r>
        <w:t>Le recours sera dès lors rejeté sur ce point. 6. Reste à examiner si, comme le soutient la recourante, elle dispose d'une reconnaissance de dette au sens de l'art. 82 LP.</w:t>
      </w:r>
    </w:p>
    <w:p>
      <w:r>
        <w:t>6.1 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w:t>
      </w:r>
    </w:p>
    <w:p>
      <w:r>
        <w:t>- 11/15 -</w:t>
      </w:r>
    </w:p>
    <w:p>
      <w:r>
        <w:t>C/5925/2015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1999, n. 33 ad art. 82 LP).</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t>6.2 Selon l'art. 82 al. 2 LP, le juge prononce la mainlevée si le débiteur ne rend pas immédiatement vraisemblable sa libération.</w:t>
      </w:r>
    </w:p>
    <w:p>
      <w:r>
        <w:t>6.3 Selon l'art. 3 de l'accord transactionnel conclu par les parties, en cas de défaut de paiement d'une mensualité, le solde de la somme totale due était exigible (intérêt à 5% en sus) huit jours après l'envoi par la recourante d'un courrier informant l'intimée de ce fait par voie électronique à une adresse mail prévue par</w:t>
      </w:r>
    </w:p>
    <w:p>
      <w:r>
        <w:t>- 12/15 -</w:t>
      </w:r>
    </w:p>
    <w:p>
      <w:r>
        <w:t>C/5925/2015 les parties. Ainsi, l'exigibilité de la créance était toutefois subordonnée à l'existence de l'envoi préalable tel que susdécrit. Or, en l'occurrence, il ne ressort pas des titres versés à la procédure qu'un tel courriel ait été adressé à l'intimée. La seule pièce produite à cet égard concerne une dénommée C______, dont l'adresse mail n'est pas précisée. En toute état de cause, la recourante n'a pas rendu vraisemblable que le courrier électronique ait été envoyé à l'adresse ______.com. Elle n'a pas non plus rendu vraisemblable qu'un pli postal ait été adressé à l'intimée à son adresse postale auprès de sa filiale genevoise.</w:t>
      </w:r>
    </w:p>
    <w:p>
      <w:r>
        <w:t>Par conséquent, c'est à bon droit que le Tribunal a retenu que la recourante n'a pas établi l'exigibilité de la créance déduite en poursuite.</w:t>
      </w:r>
    </w:p>
    <w:p>
      <w:r>
        <w:t>6.4 Le recours sera, dès lors, rejeté sur ce point.</w:t>
      </w:r>
    </w:p>
    <w:p>
      <w:r>
        <w:rPr>
          <w:b/>
        </w:rPr>
        <w:t>E. 7</w:t>
      </w:r>
    </w:p>
    <w:p>
      <w:r>
        <w:t>Par souci de clarté, le ch. 1 du dispositif de la décision entreprise sera entièrement annulé. L'exequatur de la décision rendue par les tribunaux anglais le 2 février 2015 sera ordonnée. La recourante sera, pour le surplus, déboutée de ses conclusions en mainlevée de l'opposition.</w:t>
      </w:r>
    </w:p>
    <w:p>
      <w:r>
        <w:rPr>
          <w:b/>
        </w:rPr>
        <w:t>E. 8.1</w:t>
      </w:r>
    </w:p>
    <w:p>
      <w:r>
        <w:t>Lorsque l'autorité de recours statue à nouveau, elle se prononce sur les frais de première instance (art. 318 al. 3 CPC applicable par analogie; JEANDIN et al., Code de procédure civile commenté, Bâle 2011, n. 9 ad art. 327 CPC).</w:t>
      </w:r>
    </w:p>
    <w:p>
      <w:r>
        <w:t>En l'espèce, la recourante obtient partiellement gain de cause, de sorte qu'il se justifie de modifier la répartition des frais de première instance. La recourante sera dès lors condamnée à prendre en charge la moitié desdits frais, le solde étant à la charge de l'intimée (art. 106 al. 1 CPC) et entièrement compensés avec l'avance de frais fournie par la recourante, laquelle demeure acquise à l'Etat de Genève (art. 111 al. 1 CPC). L'intimée sera dès lors condamnée à verser 400 fr. à ce titre à la recourante (art. 111 al. 2 CPC). Par ailleurs, le solde de l'avance de frais de 2'700 fr. versée par la recourante lui sera restitué par les Services financiers du Pouvoir judiciaire.</w:t>
      </w:r>
    </w:p>
    <w:p>
      <w:r>
        <w:rPr>
          <w:b/>
        </w:rPr>
        <w:t>E. 8.2</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Conformément à l'art. 48 OELP, le Tribunal a fixé l'émolument de première instance à 800 fr. L'émolument de la présente décision sera fixé à 1'200 fr. Il sera mis à la charge des parties pour moitié chacune, la recourante obtenant partiellement gain de cause (art. 106 al. 1 CPC). Les frais seront compensés par l'avance de frais fournie par la recourante, laquelle est acquise à l'Etat de Genève (art. 111 al. 1 CPC). L'intimée sera condamnée à verser 600 fr. à la recourante à titre de remboursement de frais.</w:t>
      </w:r>
    </w:p>
    <w:p>
      <w:r>
        <w:t>- 13/15 -</w:t>
      </w:r>
    </w:p>
    <w:p>
      <w:r>
        <w:t>C/5925/2015</w:t>
      </w:r>
    </w:p>
    <w:p>
      <w:r>
        <w:t>Compte tenu de l'issue du litige, il ne se justifie pas d'allouer de dépens (art. 105 al. 1 CPC a contrario). * * * * *</w:t>
      </w:r>
    </w:p>
    <w:p>
      <w:r>
        <w:t>- 14/15 -</w:t>
      </w:r>
    </w:p>
    <w:p>
      <w:r>
        <w:t>C/5925/2015 PAR CES MOTIFS, La Chambre civile : A la forme : Déclare recevable le recours interjeté le 1er avril 2016 par A______ contre le jugement JTPI/3743/2016 rendu le 17 mars 2016 par le Tribunal de première instance dans la cause C/5925/2015-11 SML. Au fond : Annule le chiffre 1 du dispositif de ce jugement. Cela fait et statuant à nouveau sur ce point : Reconnaît et déclare exécutoire en Suisse le jugement (Order) du 2 février 2015 rendu par la High Court of Justice, Queen's Bench Division, Commercial Court de la ville de Londres. Déboute A______ de ses conclusions en mainlevée de l'opposition formée au commandement de payer, poursuite n° 3______. Déboute les parties de toutes autres conclusions. Sur les frais des deux instances : Arrête les frais judiciaires à 2'000 fr., les met à la charge des parties pour moitié chacune, compensés à due concurrence avec les avances de frais fournies par les parties, acquises à l'Etat de Genève. Condamne en conséquence B______ à verser 1'000 fr. à A______ à titre de remboursement de frais. Ordonne aux Services financiers du Pouvoir judiciaire de restituer la somme de 5'750 fr. à A______. Dit qu'il n'est pas alloué de dépens. Siégeant : Madame Sylvie DROIN, présidente; Madame Nathalie LANDRY-BARTHE et Monsieur Ivo BUETTI, juges; Monsieur David VAZQUEZ, commis-greffier.</w:t>
      </w:r>
    </w:p>
    <w:p>
      <w:r>
        <w:t>La présidente : Sylvie DROIN</w:t>
      </w:r>
    </w:p>
    <w:p>
      <w:r>
        <w:t>Le commis-greffier : David VAZQUEZ</w:t>
      </w:r>
    </w:p>
    <w:p>
      <w:r>
        <w:t>- 15/15 -</w:t>
      </w:r>
    </w:p>
    <w:p>
      <w:r>
        <w:t>C/5925/2015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