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ACJC/1469/2017 vom 14. November 2017</w:t>
      </w:r>
    </w:p>
    <w:p>
      <w:r>
        <w:t>GE Cour de justice, 2017-11-14, FR</w:t>
      </w:r>
    </w:p>
    <w:p>
      <w:r>
        <w:rPr>
          <w:b/>
        </w:rPr>
        <w:t xml:space="preserve">Quelle: </w:t>
      </w:r>
      <w:r>
        <w:t>https://mcp.opencaselaw.ch/entscheid/ge_gerichte_ACJC_1469_2017</w:t>
      </w:r>
    </w:p>
    <w:p>
      <w:r>
        <w:t>FR: GE_GERICHTE ACJC/1469/2017 du 14 novembre 2017</w:t>
      </w:r>
    </w:p>
    <w:p>
      <w:r>
        <w:t>IT: GE_GERICHTE ACJC/1469/2017 del 14 novembre 2017</w:t>
      </w:r>
    </w:p>
    <w:p>
      <w:pPr>
        <w:pStyle w:val="Heading2"/>
      </w:pPr>
      <w:r>
        <w:t>Erwägungen</w:t>
      </w:r>
    </w:p>
    <w:p>
      <w:r>
        <w:rPr>
          <w:b/>
        </w:rPr>
        <w:t>E. 1.1</w:t>
      </w:r>
    </w:p>
    <w:p>
      <w:r>
        <w:t>S'agissant d'une procédure de mainlevée, seule la voie du recours est ouverte (art. 319 let. b et 309 let. b ch. 3 CPC).</w:t>
      </w:r>
    </w:p>
    <w:p>
      <w:r>
        <w:t>- 4/7 -</w:t>
      </w:r>
    </w:p>
    <w:p>
      <w:r>
        <w:t>C/3529/2017</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2</w:t>
      </w:r>
    </w:p>
    <w:p>
      <w:r>
        <w:t>Le recourant reproche au Tribunal d'avoir violé l'art. 82 LP en refusant de prononcer la mainlevée provisoire sur la base des documents produits. Il fait valoir que les bulletins de livraison et/ou la déclaration du 12 novembre 2014 constituent des titres suffisants pour obtenir la mainlevée provisoire.</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141 s.; arrêts du Tribunal fédéral 5A_878/2011 du 5 mars 2012 consid. 2.1; 5A_892/2015 du 16 février 2016 consid. 4.3.1), en principe par titre (cf. art. 254 al. 1 CPC; arrêt du Tribunal fédéral 5A_303/2013 du 24 septembre 2013 consid. 4.1). Le poursuivi peut se prévaloir de tous les moyens de droit civil - exceptions ou objections - qui infirment la reconnaissance de dette (ATF 136 III 624 consid. 4.2.1 p. 625; arrêt 5D_147/2011 du 10 novembre 2011 consid. 3), notamment les vices de la volonté au sens des art. 23 ss CO (arrêts du Tribunal fédéral 5A_652/2011 du 28 février 2012 consid. 3.2.2; 5A_892/2015 du 16 février</w:t>
      </w:r>
    </w:p>
    <w:p>
      <w:r>
        <w:t>- 5/7 -</w:t>
      </w:r>
    </w:p>
    <w:p>
      <w:r>
        <w:t>C/3529/2017 2016 consid. 4.3.1). Contrairement à la procédure de mainlevée définitive, dans la mainlevée provisoire le débiteur n'a pas à apporter la preuve absolue (ou stricte) de ses moyens libératoires, mais doit seulement les rendre vraisemblables (VEUILLET, La mainlevée de l'opposition, 2017, n. 107 ad art. 82 LP et les références citées).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w:t>
      </w:r>
    </w:p>
    <w:p>
      <w:r>
        <w:rPr>
          <w:b/>
        </w:rPr>
        <w:t>E. 2.2</w:t>
      </w:r>
    </w:p>
    <w:p>
      <w:r>
        <w:t>En l'espèce, les bulletins de livraison signés par l'intimée mentionnent le prix unitaire de chacun des articles livrés. De tels documents peuvent servir de titre de mainlevée provisoire lorsqu'un contrat de vente a été conclu. Or, tel n'est pas le cas en l'espèce puisqu'il n'a pas été allégué que l'intimée devait faire l'acquisition des objets volés. Les prix figuraient vraisemblablement sur les bulletins de livraison à titre indicatif puisque l'intimée devait en négocier la vente auprès d'un tiers. Dès lors que la marchandise a été remise à l'intimée pour qu'elle en négocie la vente, plusieurs types de contrat ont pu être conclus entre C______ SA et l'intimée, tels un contrat de mandat, un contrat de courtage ou un contrat de dépôt. Or, aucun titre n'a été produit rendant vraisemblable la conclusion d'un type de contrat plutôt qu'un autre, de sorte que l'allégation du recourant selon laquelle un contrat de dépôt a été conclu n'a pas été rendue vraisemblable. Par conséquent, les bulletins de livraison ne permettent pas de retenir que l'intimée se serait engagée, sans réserve ni condition, à verser les prix figurant sur ceux-ci. Par ailleurs, la déclaration de l'administrateur de l'intimée du 12 novembre 2014 n'exprime pas sa volonté inconditionnelle de payer. Si celui-ci a reconnu sa pleine responsabilité dans la disparition des valeurs à hauteur de 4'740'550 fr., il ne s'est toutefois pas expressément engagé à verser cette somme à C______ SA. Seule une interprétation pourrait permettre de retenir que, par cette déclaration, l'administrateur de l'intimée a exprimé son intention de payer cette somme ou que cette déclaration pouvait être comprise par C______ SA comme l'intention de celui-ci de payer une telle somme. Or, il n'appartient pas au juge de la mainlevée de procéder à une telle interprétation, de sorte que la mainlevée provisoire doit</w:t>
      </w:r>
    </w:p>
    <w:p>
      <w:r>
        <w:t>- 6/7 -</w:t>
      </w:r>
    </w:p>
    <w:p>
      <w:r>
        <w:t>C/3529/2017 également être refusée en tant qu'elle se fonde sur la déclaration du 12 novembre 2014. La question de savoir si l'administrateur de l'intimée a été contraint de signer la déclaration du 12 novembre 2014 sous l'emprise d'une crainte fondée peut ainsi rester indécise. En définitive, le recours sera rejeté.</w:t>
      </w:r>
    </w:p>
    <w:p>
      <w:r>
        <w:rPr>
          <w:b/>
        </w:rPr>
        <w:t>E. 3</w:t>
      </w:r>
    </w:p>
    <w:p>
      <w:r>
        <w:t>Les frais judiciaires de recours seront arrêtés à 2'250 fr. (art. 48 et 61 OELP) et mis à la charge du recourant, qui succombe (art. 106 al. 1 CPC). Ils seront compensés avec l'avance de frais fournie, qui demeure acquise à l'Etat de H______ (art. 111 al. 1 CPC). Le recourant sera condamné à verser à l'intimée 2'000 fr., débours et TVA compris, à titre de dépens du recours (art. 84, 85, 89 et 90 RTFMC; art. 23 al. 1, 25 et 26 LaCC).</w:t>
      </w:r>
    </w:p>
    <w:p>
      <w:r>
        <w:rPr>
          <w:b/>
        </w:rPr>
        <w:t>E. 4</w:t>
      </w:r>
    </w:p>
    <w:p>
      <w:r>
        <w:t>La valeur litigieuse, au sens de l'art. 51 LTF, est supérieure à 30'000 fr. * * * * *</w:t>
      </w:r>
    </w:p>
    <w:p>
      <w:r>
        <w:t>- 7/7 -</w:t>
      </w:r>
    </w:p>
    <w:p>
      <w:r>
        <w:t>C/3529/2017 PAR CES MOTIFS, La Chambre civile : A la forme : Déclare recevable le recours interjeté le 28 juillet 2017 par A______ contre le jugement JTPI/9423/2017 rendu le 20 juillet 2017 par le Tribunal de première instance dans la cause C/3529/2017-23 SML. Au fond : Rejette ce recours. Déboute les parties de toutes autres conclusions. Sur les frais : Arrête les frais judiciaires de recours à 2'250 fr., les met à la charge de A______ et dit qu'ils sont compensés avec l'avance fournie, qui reste acquise à l'Etat de Genève. Condamne A______ à verser à B______ SA 2'000 fr. à titre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