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ACJC/1467/2022 vom 3. November 2022</w:t>
      </w:r>
    </w:p>
    <w:p>
      <w:r>
        <w:t>GE Cour de justice, 2022-11-03, FR</w:t>
      </w:r>
    </w:p>
    <w:p>
      <w:r>
        <w:rPr>
          <w:b/>
        </w:rPr>
        <w:t xml:space="preserve">Quelle: </w:t>
      </w:r>
      <w:r>
        <w:t>https://mcp.opencaselaw.ch/entscheid/ge_gerichte_ACJC_1467_2022</w:t>
      </w:r>
    </w:p>
    <w:p>
      <w:r>
        <w:t>FR: GE_GERICHTE ACJC/1467/2022 du 3 novembre 2022</w:t>
      </w:r>
    </w:p>
    <w:p>
      <w:r>
        <w:t>IT: GE_GERICHTE ACJC/1467/2022 del 3 novembre 2022</w:t>
      </w:r>
    </w:p>
    <w:p>
      <w:pPr>
        <w:pStyle w:val="Heading2"/>
      </w:pPr>
      <w:r>
        <w:t>Erwägungen</w:t>
      </w:r>
    </w:p>
    <w:p>
      <w:r>
        <w:rPr>
          <w:b/>
        </w:rPr>
        <w:t>E. 1.1</w:t>
      </w:r>
    </w:p>
    <w:p>
      <w:r>
        <w:t>Interjeté dans le délai utile de trente jours et suivant la forme prescrite par la loi (art. 130, 131, 142 et 311 al. 1 CPC), à l'encontre d'une décision finale au sens de l'art. 308 al. 1 let. a CPC, statuant dans une affaire patrimoniale dont la valeur litigieuse est supérieure à 10'000 fr., l'appel est recevable.</w:t>
      </w:r>
    </w:p>
    <w:p>
      <w:r>
        <w:t>La réponse et l'appel joint sont également recevables (art. 142 al. 3, 312 al. 2 et 313 al. 1 CPC).</w:t>
      </w:r>
    </w:p>
    <w:p>
      <w:r>
        <w:t>Les deux appels seront traités dans le même arrêt. Par souci de simplification, l'ex-épouse sera désignée en qualité d'appelante et l'ex-époux en qualité d'intimé.</w:t>
      </w:r>
    </w:p>
    <w:p>
      <w:r>
        <w:rPr>
          <w:b/>
        </w:rPr>
        <w:t>E. 1.2</w:t>
      </w:r>
    </w:p>
    <w:p>
      <w:r>
        <w:t>La Cour revoit la cause avec un plein pouvoir d'examen (art. 310 CPC).</w:t>
      </w:r>
    </w:p>
    <w:p>
      <w:r>
        <w:t>Le juge établit les faits d'office pour toutes les questions qui touchent à la prévoyance professionnelle (art. 277 al. 3 CPC), sur lesquelles il statue même en l'absence de conclusions des parties, étant précisé que la maxime d'office et la maxime inquisitoire ne s'imposent cependant que devant le premier juge (arrêts du Tribunal fédéral 5A_18/2018 du 16 mars 2018 consid. 6; 5A_862/2012 du 30 mai 2013 consid. 5.3.2 et 5.3.3 et les références citées).</w:t>
      </w:r>
    </w:p>
    <w:p>
      <w:r>
        <w:rPr>
          <w:b/>
        </w:rPr>
        <w:t>E. 1.3</w:t>
      </w:r>
    </w:p>
    <w:p>
      <w:r>
        <w:t>La cause présente un élément d’extranéité compte tenu de la nationalité tunisienne de l’intimé.</w:t>
      </w:r>
    </w:p>
    <w:p>
      <w:r>
        <w:t>A raison, les parties ne remettent pas en cause la compétence des juridictions genevoises pour connaître du litige (art. 59 et 63 al. 1 et 1bis LDIP), ni l'application du droit suisse (art. 61 et 63 al. 2 LDIP).</w:t>
      </w:r>
    </w:p>
    <w:p>
      <w:r>
        <w:rPr>
          <w:b/>
        </w:rPr>
        <w:t>E. 2</w:t>
      </w:r>
    </w:p>
    <w:p>
      <w:r>
        <w:t>La Cour examine d'office la recevabilité des faits et moyens de preuve nouveaux ainsi que des conclusions nouvelles en appel (REETZ/HILBER, Kommentar zur Schweizerischen Zivilprozessordnung, 3ème éd. 2016, n. 26 ad art. 317 CPC).</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ces conditions étant cumulatives (ATF 144 III 349 consid. 4.2.1).</w:t>
      </w:r>
    </w:p>
    <w:p>
      <w:r>
        <w:t>Les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 du Tribunal fédéral 5A_266/2015 du 24 juin 2015 consid. 3.2.2).</w:t>
      </w:r>
    </w:p>
    <w:p>
      <w:r>
        <w:t>- 7/11 -</w:t>
      </w:r>
    </w:p>
    <w:p>
      <w:r>
        <w:t>C/25928/2020</w:t>
      </w:r>
    </w:p>
    <w:p>
      <w:r>
        <w:t>Comme relevé ci-avant, en matière de prévoyance professionnelle liée au divorce, la maxime d'office et la maxime inquisitoire s'imposent uniquement devant le premier juge. Dans la procédure d'appel, l'admissibilité des faits et moyens de preuve nouveaux est donc régie par l'art. 317 al. 1 CPC (arrêts du Tribunal fédéral 5A_631/2018 du 15 février 2019 consid. 3.2.2; 5A_407/2018 du 11 janvier 2019 consid. 5.3; 5A_862/2012 du 30 mai 2013 consid. 5.3.2, SJ 2014 I 76).</w:t>
      </w:r>
    </w:p>
    <w:p>
      <w:r>
        <w:rPr>
          <w:b/>
        </w:rPr>
        <w:t>E. 2.2</w:t>
      </w:r>
    </w:p>
    <w:p>
      <w:r>
        <w:t>La recevabilité des pièces 3, 4, 5 et 7 produites par l’intimé devant la Cour est contestée à juste titre par l’appelante. En effet, ces dernières ont été établies avant que le Tribunal ne garde la cause à juger le 16 juin 2021. Or, l’intimé n’a pas expliqué les raisons qui l’auraient empêché de produire lesdites pièces devant le premier juge en faisant preuve de toute la diligence requise. Ces pièces sont en conséquence irrecevables, ainsi que les allégués de fait qui s'y rapportent. Les pièces 6 et 8, soit une attestation fiscale de l’Hospice général concernant l’année 2021, établie au 31 décembre 2021, ainsi qu’un certificat médical du 31 janvier 2022, sont en revanche recevables, car nouvelles.</w:t>
      </w:r>
    </w:p>
    <w:p>
      <w:r>
        <w:rPr>
          <w:b/>
        </w:rPr>
        <w:t>E. 3.1</w:t>
      </w:r>
    </w:p>
    <w:p>
      <w:r>
        <w:t>L’appel peut être formé pour constatation inexacte des faits (art. 310 let. b CPC).</w:t>
      </w:r>
    </w:p>
    <w:p>
      <w:r>
        <w:t>La « constatation inexacte des faits » mentionnée à l’art. 310 let. b habilite l’instance supérieure à revoir les faits sans restriction, ce qui découle de la nature ordinaire de la voie de l’appel, en vertu de laquelle le litige se continue pour ainsi dire devant l’instance supérieure (JEANDIN, CR, CPC 2ème éd., ad art. 310 n. 6).</w:t>
      </w:r>
    </w:p>
    <w:p>
      <w:r>
        <w:rPr>
          <w:b/>
        </w:rPr>
        <w:t>E. 3.2</w:t>
      </w:r>
    </w:p>
    <w:p>
      <w:r>
        <w:t>En l’espèce et contrairement à ce qu’a retenu manifestement par erreur le Tribunal, les parties n’ont pas, d’accord entre elles, renoncé au partage des avoirs de prévoyance professionnelle. L’intimé lui-même ne le soutient d’ailleurs pas. La demande unilatérale en divorce du 10 décembre 2020 déposée par l’appelante contient une conclusion en partage des avoirs de prévoyance professionnelle. Entendue à trois reprises par le Tribunal, l’appelante a toujours persisté dans les termes de sa demande, ce qui ressort expressément des procès-verbaux et en particulier de celui du 16 juin 2021. Lors de ladite audience, le Tribunal a indiqué, dans la bouche du seul conseil de l’intimé, que ce dernier concluait à la renonciation au partage en raison du fait que l’appelante n’avait jamais cotisé, puisqu’exerçant une profession indépendante et que lui-même avait une capacité de gain extrêmement limitée. La teneur dudit procès-verbal ne prête ainsi pas à confusion et ne nécessite pas d’être interprétée, dans la mesure où elle est parfaitement claire et sans équivoque. Dans un premier temps, le Tribunal ne s’y est d’ailleurs pas trompé, puisqu’au terme de l’audience il a constaté l’échec de la conciliation et a gardé la cause à</w:t>
      </w:r>
    </w:p>
    <w:p>
      <w:r>
        <w:t>- 8/11 -</w:t>
      </w:r>
    </w:p>
    <w:p>
      <w:r>
        <w:t>C/25928/2020 juger. Cette mention ne pouvait concerner que la question du partage des avoirs de prévoyance professionnelle, l’époux ayant, pour le surplus, acquiescé à toutes les autres conclusions prises par sa partie adverse. C’est dès lors par inadvertance et en raison d’une mauvaise relecture du procès- verbal de l’audience du 16 juin 2022 que le Tribunal a, dans le jugement attaqué, donné acte aux parties de ce qu’elles avaient valablement renoncé au partage des avoirs de prévoyance professionnelle accumulés pendant le mariage. Au vu de ce qui précède, le chiffre 3 du dispositif du jugement attaqué sera annulé.</w:t>
      </w:r>
    </w:p>
    <w:p>
      <w:r>
        <w:rPr>
          <w:b/>
        </w:rPr>
        <w:t>E. 4</w:t>
      </w:r>
    </w:p>
    <w:p>
      <w:r>
        <w:t>4.1.1 Conformément à l’art. 318 al. 1 CPC, l’instance d’appel peut : statuer à nouveau (let. b) ; renvoyer la cause à la première instance dans les cas suivants : un élément essentiel de la demande n’a pas été jugé (let. c ch. 1), l’état de fait doit être complété sur des points essentiels (let. c ch. 2). 4.1.2 Selon l’art. 22 de la loi fédérale sur le libre passage dans la prévoyance professionnelle vieillesse, survivants et invalidité du 17 décembre 1993 (ci-après : LFLP; RS 831.42), les prestations de sortie et les parts de rente sont partagées, en cas de divorce, conformément aux art. 122 à 124e CC et 280 et 281 CPC; les art. 3 à 5 s’appliquent par analogie au montant à transférer.</w:t>
      </w:r>
    </w:p>
    <w:p>
      <w:r>
        <w:t>Les prétentions de prévoyance professionnelle acquises durant le mariage et jusqu’à l’introduction de la procédure de divorce sont partagées entre les époux (art. 122 al. 1 CC). Les prestations de sortie acquises, y compris les avoirs de libre passage et les versements anticipés pour la propriété du logement, sont partagées par moitié (art. 123 al. 1 CC). 4.1.3 Le juge attribue moins de la moitié de la prestation de sortie au conjoint créancier ou n’en attribue aucune pour de justes motifs. C’est le cas en particulier lorsque le partage par moitié s’avère inéquitable en raison : de la liquidation du régime matrimonial ou de la situation économique des époux après le divorce; des besoins de prévoyance de chacun des époux, compte tenu notamment de leur différence d’âge (art. 124b al. 2 ch. 1 et 2 CC). Le juge dispose d'un large pouvoir d'appréciation (arrêt du Tribunal fédéral 5A_804/2016 du 26 janvier 2017 consid. 3.1.3 et les références citées), mais il convient de veiller à ce que l'application de l'art. 124b al. 2 CC ne vide pas de sa substance le principe du partage par moitié, celui-ci devant, dans l'idéal, permettre aux deux conjoints de disposer d'un avoir de prévoyance de qualité égale (ATF 145 III 56 consid. 5.3.2 et les références citées; Message du Conseil fédéral, op.cit., p. 4371).</w:t>
      </w:r>
    </w:p>
    <w:p>
      <w:r>
        <w:t>- 9/11 -</w:t>
      </w:r>
    </w:p>
    <w:p>
      <w:r>
        <w:t>C/25928/2020 Le texte de l'art. 124b al. 2 CC prévoit ainsi la possibilité pour le juge de s'écarter du principe du partage par moitié pour de justes motifs et mentionne deux catégories d'exemples à ses chiffres 1 et 2, sans toutefois préciser plus avant cette notion (ATF 145 III 56 consid. 5.3.2; arrêt du Tribunal fédéral 5A_106/2021 du 17 mai 2021 consid. 3.1 résumé in DroitMatrimonial.ch) et sans que cette liste de justes motifs ne soit exhaustive (arrêt du Tribunal fédéral 5A_194/2020 du</w:t>
      </w:r>
    </w:p>
    <w:p>
      <w:r>
        <w:rPr>
          <w:b/>
        </w:rPr>
        <w:t>E. 4.2</w:t>
      </w:r>
    </w:p>
    <w:p>
      <w:r>
        <w:t>Dans le cadre de la présente procédure, les parties ont pris des conclusions divergentes concernant le partage des avoirs de prévoyance professionnelle accumulés par le seul intimé pendant la durée du mariage, ce dernier concluant à la renonciation au partage, l’appelante concluant pour sa part au partage par moitié.</w:t>
      </w:r>
    </w:p>
    <w:p>
      <w:r>
        <w:t>Il résulte des dispositions légales mentionnées sous considérant 4.1.2 ci-dessus, que le principe voulu par le législateur est celui du partage par moitié. Le juge a toutefois la possibilité, limitée, de déroger à ce principe, pour de justes motifs, étant précisé qu’il dispose d’un large pouvoir d’appréciation.</w:t>
      </w:r>
    </w:p>
    <w:p>
      <w:r>
        <w:t>En l’espèce, croyant à tort être en présence d’un accord des parties portant sur ce point, le Tribunal s’est contenté de leur donner acte de ce qu’elles avaient valablement renoncé au partage des avoirs de prévoyance professionnelle, « compte tenu des circonstances ».</w:t>
      </w:r>
    </w:p>
    <w:p>
      <w:r>
        <w:t>Le premier juge ne s’est par conséquent livré à aucune analyse détaillée de la situation des parties en termes de prévoyance professionnelle, ni n’a exposé les « circonstances », au sens de l’art. 124b al. 2 CC, l’ayant amené à considérer que la prétendue renonciation au partage était valable, étant relevé que le fait que l’appelante n’ait pas cotisé à une institution de prévoyance durant le mariage plaiderait plutôt en défaveur de la renonciation au partage.</w:t>
      </w:r>
    </w:p>
    <w:p>
      <w:r>
        <w:t>Pour déterminer s’il se justifie, dans le cas d’espèce, de déroger au principe du partage par moitié, il est nécessaire de faire porter l’instruction de la cause (étant rappelé que le Tribunal doit instruire ce point d’office) notamment sur les éventuelles perspectives professionnelles de l’intimé compte tenu de son état de santé et de la formation qu’il a indiqué avoir entreprise, sur la situation de l’appelante une fois l’âge de la retraite atteint, sur leurs éventuels éléments de fortune, ainsi que sur les incidences de leur importante différence d’âge.</w:t>
      </w:r>
    </w:p>
    <w:p>
      <w:r>
        <w:t>Ces points, essentiels pour la résolution du litige, n’ayant pas été instruits par le Tribunal, il se justifie de lui retourner la cause pour suite d’instruction et nouvelle décision et ce dans le respect du principe du double degré de juridiction.</w:t>
      </w:r>
    </w:p>
    <w:p>
      <w:r>
        <w:rPr>
          <w:b/>
        </w:rPr>
        <w:t>E. 5</w:t>
      </w:r>
    </w:p>
    <w:p>
      <w:r>
        <w:t>novembre 2020 consid. 4.1.1; Message du Conseil fédéral, op. cit., p. 4371).</w:t>
      </w:r>
    </w:p>
    <w:p>
      <w:r>
        <w:rPr>
          <w:b/>
        </w:rPr>
        <w:t>E. 5.1</w:t>
      </w:r>
    </w:p>
    <w:p>
      <w:r>
        <w:t>Les frais sont mis à la charge de la partie succombante (art. 106 al. 1 CPC). Le tribunal peut néanmoins s'écarter des règles générales et répartir les frais selon sa</w:t>
      </w:r>
    </w:p>
    <w:p>
      <w:r>
        <w:t>- 10/11 -</w:t>
      </w:r>
    </w:p>
    <w:p>
      <w:r>
        <w:t>C/25928/2020 libre appréciation, notamment lorsque le litige relève du droit de la famille (art. 107 al. 1 let. c CPC).</w:t>
      </w:r>
    </w:p>
    <w:p>
      <w:r>
        <w:rPr>
          <w:b/>
        </w:rPr>
        <w:t>E. 5.2</w:t>
      </w:r>
    </w:p>
    <w:p>
      <w:r>
        <w:t>Les frais judiciaires d’appel et d’appel joint seront arrêtés à 2'000 fr. (art. 30 et 35 RTFMC). Les deux appels ayant été motivés par une erreur commise par le Tribunal, lesdits frais seront laissés à la charge de l’Etat (art. 107 al. 2 CPC).</w:t>
      </w:r>
    </w:p>
    <w:p>
      <w:r>
        <w:t>Compte tenu de la nature familiale du litige, chaque partie conservera à sa charge ses propres dépens d’appel (art. 107 al. 1 let. c CPC). * * * * *</w:t>
      </w:r>
    </w:p>
    <w:p>
      <w:r>
        <w:t>- 11/11 -</w:t>
      </w:r>
    </w:p>
    <w:p>
      <w:r>
        <w:t>C/25928/2020 PAR CES MOTIFS, La Chambre civile : A la forme : Déclare recevables l'appel interjeté par A______, ainsi que l’appel joint formé par B______ contre le jugement JTPI/13660/2021 rendu le 1er novembre 2021 par le Tribunal de première instance dans la cause C/25928/2020. Au fond : Annule le chiffre 3 du dispositif du jugement entrepris et cela fait : Retourne la cause au Tribunal de première instance pour suite d’instruction et nouvelle décision dans le sens des considérants. Confirme pour le surplus le jugement attaqué. Sur les frais : Arrête les frais judiciaires de l’appel et de l’appel joint à 2'000 fr. et les laisse à la charge de l’Etat. Dit que chaque partie supporte ses propres dépens d’appel. Siégeant : Monsieur Cédric-Laurent MICHEL, président; Madame Pauline ERARD, Madame Paola CAMPOMAGNANI, juges; Madame Camille LESTEVEN, greffière. Le président : Cédric-Laurent MICHEL</w:t>
      </w:r>
    </w:p>
    <w:p>
      <w:r>
        <w:t>La greffière : Camille LESTEVEN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