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ACJC/1466/2014 vom 2. Dezember 2014</w:t>
      </w:r>
    </w:p>
    <w:p>
      <w:r>
        <w:t>GE Cour de justice, 2014-12-02, FR</w:t>
      </w:r>
    </w:p>
    <w:p>
      <w:r>
        <w:rPr>
          <w:b/>
        </w:rPr>
        <w:t xml:space="preserve">Quelle: </w:t>
      </w:r>
      <w:r>
        <w:t>https://mcp.opencaselaw.ch/entscheid/ge_gerichte_ACJC_1466_2014</w:t>
      </w:r>
    </w:p>
    <w:p>
      <w:r>
        <w:t>FR: GE_GERICHTE ACJC/1466/2014 du 2 décembre 2014</w:t>
      </w:r>
    </w:p>
    <w:p>
      <w:r>
        <w:t>IT: GE_GERICHTE ACJC/1466/2014 del 2 dicembre 2014</w:t>
      </w:r>
    </w:p>
    <w:p>
      <w:pPr>
        <w:pStyle w:val="Heading2"/>
      </w:pPr>
      <w:r>
        <w:t>Volltext</w:t>
      </w:r>
    </w:p>
    <w:p>
      <w:r>
        <w:t>Le présent arrêt est communiqué aux parties par plis recommandés ainsi qu'au Tribunal de protection de l'adulte et de l'enfant le 4.12.2014.</w:t>
      </w:r>
    </w:p>
    <w:p>
      <w:r>
        <w:t>REPUBLIQUE ET</w:t>
      </w:r>
    </w:p>
    <w:p>
      <w:r>
        <w:t>CANTON DE GENEVE POUVOIR JUDICIAIRE C/14855/2014 ACJC/1466/2014 ARRÊT DE LA COUR DE JUSTICE Chambre civile DU MARDI 2 DECEMBRE 2014</w:t>
      </w:r>
    </w:p>
    <w:p>
      <w:r>
        <w:t>Entre Monsieur A______, domicilié ______ (GE), appelant d'un jugement rendu par la 2ème Chambre du Tribunal de première instance de ce canton le 28 octobre 2014, comparant par Me Zoltan Szalai, avocat, 72, boulevard Saint-Georges, 1205 Genève, en l'étude duquel il fait élection de domicile, et Madame B______, domiciliée______ (GE), intimée, comparant par Me Tania Nicolini, avocate, 72, boulevard Saint-Georges, 1205 Genève, en l'étude de laquelle elle fait élection de domicile.</w:t>
      </w:r>
    </w:p>
    <w:p>
      <w:r>
        <w:t>- 2/4 -</w:t>
      </w:r>
    </w:p>
    <w:p>
      <w:r>
        <w:t>C/14855/2014 Vu, EN FAIT, le jugement JTPI/13217/2014 du 28 octobre 2014, notifié à A______ le 5 novembre 2014, aux termes duquel le Tribunal de première instance, statuant sur mesures protectrices de l'union conjugale, a, notamment, condamné A______ à verser, dès le 1er juin 2014, par mois et d'avance, allocations familiales non comprises, la somme de 1'200 fr. à titre de contribution à l'entretien de la famille (ch. 7); Vu l'appel déposé le 17 novembre 2014 par A______ au greffe de la Cour de justice par lequel il conteste le chiffre précité du dispositif, indiquant que le montant de 1'200 fr. par mois pour l'entretien de sa famille dès le 1er juin 2014 comprend les allocations familiales comprises et qu'il demande, en outre, la suspension de la présente procédure jusqu'à droit jugé sur sa demande en rectification formée contre le jugement susmentionné; Vu la demande d'octroi de l'effet suspensif formée par l'appelant, celui-ci exposant qu'à défaut d'inclure les allocations familiales dans le montant de 1'200 fr. dû par mois, il est porté atteinte à son minimum vital; Qu'invitée à se déterminer sur la requête d'effet suspensif, l'intimée s'en rapporte à justice, mais explique qu'elle acquiesce à l'appel; Considérant, EN DROIT,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w:t>
      </w:r>
    </w:p>
    <w:p>
      <w:r>
        <w:t>- 3/4 -</w:t>
      </w:r>
    </w:p>
    <w:p>
      <w:r>
        <w:t>C/14855/2014 Qu'en l'espèce, les parties s'accordent sur le fait que le montant de 1'200 fr. par mois dû à titre de contribution d'entretien à la famille doit comporter les allocations familiales; Que, prima facie, cet accord paraît compatible avec les intérêts des enfants; Que, par ailleurs, au vu des revenus et des charges du débirentier, il apparaît que si les allocations familiales étaient exclues du montant dû par celui-ci, ce dernier serait susceptible d'être atteint dans son minimum vital; Qu'il y a, partant, lieu d'accorder la suspension de l'effet exécutoire du jugement querellé, en tant que la somme mensuellement due s'élève à 1'200 fr., allocations familiales incluses; Qu'il ne peut, en l'état, être statué sur le fond du litige, dès lors que l'appelant conclut à la suspension de la procédure jusqu'à droit jugé sur sa demande de rectification; Que l'appelant a d'ailleurs été invité à informer la Cour de l'avancement de celle-ci;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C/14855/2014</w:t>
      </w:r>
    </w:p>
    <w:p>
      <w:r>
        <w:t>PAR CES MOTIFS, La Chambre civile : Statuant sur suspension de l'exécution : Admet la requête de A______ tendant à la suspension de l'effet exécutoire attaché au chiffre 7 du jugement JTPI/13217/2014 rendu le 28 octobre 2014 par le Tribunal de première instance dans la procédure C/14855/2014-2, en tant que le montant de 1'200 fr. par mois, dû depuis le 1er juin 2014 par A______ à titre de contribution d'entretien à sa famille, comprend les allocations familiales. Dit qu'il sera statué sur les frais et dépens de l'incident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