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ACJC/1463/2013 vom 13. Dezember 2013</w:t>
      </w:r>
    </w:p>
    <w:p>
      <w:r>
        <w:t>GE Cour de justice, 2013-12-13, FR</w:t>
      </w:r>
    </w:p>
    <w:p>
      <w:r>
        <w:rPr>
          <w:b/>
        </w:rPr>
        <w:t xml:space="preserve">Quelle: </w:t>
      </w:r>
      <w:r>
        <w:t>https://mcp.opencaselaw.ch/entscheid/ge_gerichte_ACJC_1463_2013</w:t>
      </w:r>
    </w:p>
    <w:p>
      <w:r>
        <w:t>FR: GE_GERICHTE ACJC/1463/2013 du 13 décembre 2013</w:t>
      </w:r>
    </w:p>
    <w:p>
      <w:r>
        <w:t>IT: GE_GERICHTE ACJC/1463/2013 del 13 dicembre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(art. 405 al. 1 CPC).</w:t>
      </w:r>
    </w:p>
    <w:p>
      <w:r>
        <w:t>En revanche, la procédure de première instance, qui a débuté en 2007, reste régie par l'ancien droit de procédure (art. 404 al. 1 CPC), soit par l'ancienne Loi fédérale sur les fors en matière civile (RS 272; ci-après : aLFors) et par l'ancienne Loi genevoise de procédure civile du 10 avril 1987 (ci-après : aLPC); ceci vaut donc notamment pour les frais et dépens de première instance.</w:t>
      </w:r>
    </w:p>
    <w:p>
      <w:r>
        <w:rPr>
          <w:b/>
        </w:rPr>
        <w:t>E. 2</w:t>
      </w:r>
    </w:p>
    <w:p>
      <w:r>
        <w:t>L'appel a été interjeté dans le délai de trente jours et suivant la forme prescrite par la loi (art. 311 al. 1 CPC). Il est dirigé contre une décision finale de première instance, dans une affaire patrimoniale d'une valeur litigieuse largement supérieure à 10'000 francs (art. 308 al. 1 let. et al. 2 CPC). Partant, il est recevable et la Cour dispose d'un plein pouvoir de cognition (art. 310 CPC).</w:t>
      </w:r>
    </w:p>
    <w:p>
      <w:r>
        <w:rPr>
          <w:b/>
        </w:rPr>
        <w:t>E. 3</w:t>
      </w:r>
    </w:p>
    <w:p>
      <w:r>
        <w:t>Le litige revêt un caractère international en raison du domicile de deux des trois appelants en France.</w:t>
      </w:r>
    </w:p>
    <w:p>
      <w:r>
        <w:t>- 9/17 -</w:t>
      </w:r>
    </w:p>
    <w:p>
      <w:r>
        <w:t>C/7036/2007</w:t>
      </w:r>
    </w:p>
    <w:p>
      <w:r>
        <w:rPr>
          <w:b/>
        </w:rPr>
        <w:t>E. 3.1</w:t>
      </w:r>
    </w:p>
    <w:p>
      <w:r>
        <w:t>A leur égard, la compétence est régie par l'ancienne Convention de Lugano (RS 0.275.11; ci-après : aCL) qui liait notamment la Suisse et la France et est applicable, dans un contexte franco-suisse, à toute action introduite antérieurement à l'entrée en vigueur de l'actuelle Convention de Lugano (RS 0.275.12; ci-après : CL), le 1er janvier 2011 (cf. art. 63 al. 1 CL).</w:t>
      </w:r>
    </w:p>
    <w:p>
      <w:r>
        <w:t>A l'égard de l'appelante domiciliée dans le canton de Genève, la compétence est en revanche régie par l'aLFors.</w:t>
      </w:r>
    </w:p>
    <w:p>
      <w:r>
        <w:t>Les tribunaux genevois sont compétents ratione loci pour connaître de la présente action en responsabilité à l'égard de toutes les parties à la présente procédure, vu le siège genevois de la société gérée par les appelants (art. 16 ch.2 aCL; art. 29 aLFors).</w:t>
      </w:r>
    </w:p>
    <w:p>
      <w:r>
        <w:rPr>
          <w:b/>
        </w:rPr>
        <w:t>E. 3.2</w:t>
      </w:r>
    </w:p>
    <w:p>
      <w:r>
        <w:t>Le droit suisse est applicable, y compris à l'égard des deux appelants domiciliés en France (art. 154 al. 1, art. 155 LDIP).</w:t>
      </w:r>
    </w:p>
    <w:p>
      <w:r>
        <w:rPr>
          <w:b/>
        </w:rPr>
        <w:t>E. 4</w:t>
      </w:r>
    </w:p>
    <w:p>
      <w:r>
        <w:t>Les appelants contestent aux intimés le droit d'agir contre eux, en raison de l'existence d'autres créanciers cessionnaires de la masse en faillite.</w:t>
      </w:r>
    </w:p>
    <w:p>
      <w:r>
        <w:rPr>
          <w:b/>
        </w:rPr>
        <w:t>E. 4.1</w:t>
      </w:r>
    </w:p>
    <w:p>
      <w:r>
        <w:t>Si, dans le cadre de la liquidation d'une masse en faillite, l'ensemble des créanciers renonce à faire valoir une prétention, chacun d'eux peut en demander la cession à la masse (art. 260 al. 1 LP); le produit, déduction faite des frais, sert à couvrir les créances des cessionnaires dans l'ordre de leur rang et l'excédent est versé à la masse (art. 260 al. 2 LP).</w:t>
      </w:r>
    </w:p>
    <w:p>
      <w:r>
        <w:t>L'office accorde la cession à chaque créancier porté à l'état de collocation aussi longtemps que sa créance n'a pas été définitivement écartée de l'état de collocation à la suite d'un procès intenté conformément à l'art. 250 LP, et chaque créancier cessionnaire se voit transférer, à titre individuel, le droit d'agir à la place de la masse, en son propre nom, pour son propre compte et à ses propres risques, alors que la prétention de droit matériel continue d'appartenir à la masse (ATF 138 III 628 consid. 5.3.2 avec nombreuses références).</w:t>
      </w:r>
    </w:p>
    <w:p>
      <w:r>
        <w:t>Lorsque plusieurs créanciers se sont fait céder la même prétention de la masse, ils forment entre eux une consorité nécessaire, car cette prétention ne peut faire l'objet que d'un seul jugement (ATF précité consid. 5.3.2; ATF 136 III 534 consid. 2.1; ATF 121 III 488 consid. 2). Toutefois, si chaque créancier cessionnaire a la faculté d'agir, il n'est nullement obligé d'intenter action (ATF 138 III 628 consid. 5.3.2).</w:t>
      </w:r>
    </w:p>
    <w:p>
      <w:r>
        <w:t>C'est pourquoi l'obligation d'agir conjointement ne concerne que ceux des créanciers qui entendent effectivement faire usage de la cession et agir en justice; eux seuls forment une consorité nécessaire (ATF 121 III 488 = JT 1997 II 147 consid. 2; ATF 121 III 291 = JT 1998 II 10 consid. 3a).</w:t>
      </w:r>
    </w:p>
    <w:p>
      <w:r>
        <w:t>- 10/17 -</w:t>
      </w:r>
    </w:p>
    <w:p>
      <w:r>
        <w:t>C/7036/2007</w:t>
      </w:r>
    </w:p>
    <w:p>
      <w:r>
        <w:rPr>
          <w:b/>
        </w:rPr>
        <w:t>E. 4.2</w:t>
      </w:r>
    </w:p>
    <w:p>
      <w:r>
        <w:t>Les intimés sont tous créanciers cessionnaires de la masse en faillite, leurs créances respectives n'ont pas été écartées de l'état de collocation et ils agissent conjointement contre les appelants.</w:t>
      </w:r>
    </w:p>
    <w:p>
      <w:r>
        <w:t>Malgré l'existence d'autres créanciers cessionnaires qui ont renoncé à agir, les intimés forment donc, valablement entre eux, la consorité nécessaire pour agir contre les appelants.</w:t>
      </w:r>
    </w:p>
    <w:p>
      <w:r>
        <w:rPr>
          <w:b/>
        </w:rPr>
        <w:t>E. 5</w:t>
      </w:r>
    </w:p>
    <w:p>
      <w:r>
        <w:t>Les faits reprochés aux appelants étant antérieurs à l'entrée en vigueur, le 1er janvier 2013, du nouveau droit de la comptabilité commerciale et de la présentation des comptes, et à l'entrée en vigueur, le 1er janvier 2008, du nouveau droit de la société à responsabilité limitée, les articles 957 à 962 et 772 à 827 du Code des obligations dans leur teneur antérieure (ci-après : aCO) sont applicables au cas d'espèce (art. 1er des dispositions transitoires de la modification du 23 décembre 2011 [RO 2012 p. 6679 ss, 6696] et art. 1er des dispositions transitoires de la modification du 16 décembre 2005 [RO 2007, p. 4791 ss, 4835]; art. 1er al. 1 du titre final du code civil).</w:t>
      </w:r>
    </w:p>
    <w:p>
      <w:r>
        <w:rPr>
          <w:b/>
        </w:rPr>
        <w:t>E. 6</w:t>
      </w:r>
    </w:p>
    <w:p>
      <w:r>
        <w:t>Les appelants font grief au premier juge d'avoir admis l'action intentée par les intimés, alors que ceux-ci n'ont pas prouvé avoir subi un dommage.</w:t>
      </w:r>
    </w:p>
    <w:p>
      <w:r>
        <w:rPr>
          <w:b/>
        </w:rPr>
        <w:t>E. 6.1</w:t>
      </w:r>
    </w:p>
    <w:p>
      <w:r>
        <w:t>La responsabilité des gérants d'une société à responsabilité limitée est soumise aux règles prescrites pour la société anonyme (art. 827 aCO), c'est-à-dire aux art. 754 ss CO.</w:t>
      </w:r>
    </w:p>
    <w:p>
      <w:r>
        <w:t>Ainsi, ils répondent notamment à l'égard de la société du dommage qu'ils causent à la société elle-même, en manquant intentionnellement ou par négligence à leurs devoirs (art. 754 al. 1 CO).</w:t>
      </w:r>
    </w:p>
    <w:p>
      <w:r>
        <w:t>En cas de faillite de la société, les créanciers sociaux peuvent agir contre les gérants, en réparation du dommage causé à la société elle-même, lorsque l'administration de la faillite leur cède la créance de la société contre les gérants (art. 827 aCO, art. 757 CO, art. 260 al. 1 LP).</w:t>
      </w:r>
    </w:p>
    <w:p>
      <w:r>
        <w:t>Comme déjà indiqué ci-dessus, chaque créancier cessionnaire se voit transférer, à titre individuel, le droit d'agir à la place de la masse, en son propre nom, pour son propre compte et à ses propres risques, alors que la prétention de droit matériel continue d'appartenir à la masse (ATF 138 III 628 consid. 5.3.2 avec nombreuses références).</w:t>
      </w:r>
    </w:p>
    <w:p>
      <w:r>
        <w:t>Il en découle, en particulier, que le dommage à indemniser est celui subi par la société elle-même et non pas celui subi à titre individuel par l'un ou l'autre des créanciers sociaux ou par tous ensemble.</w:t>
      </w:r>
    </w:p>
    <w:p>
      <w:r>
        <w:t>- 11/17 -</w:t>
      </w:r>
    </w:p>
    <w:p>
      <w:r>
        <w:t>C/7036/2007</w:t>
      </w:r>
    </w:p>
    <w:p>
      <w:r>
        <w:t>En vertu de l'autonomie des parties et de la maxime de disposition qui en découle (cf. HOHL, Procédure civile, tome I, Berne 2001 p. 140, 141), les créanciers cessionnaires qui agissent solidairement contre les gérants peuvent toutefois limiter leurs conclusions à un montant inférieur au dommage total subi par la société faillie cédante. En particulier, ils peuvent limiter leurs conclusions au montant correspondant à leur propre découvert commun dans la faillite.</w:t>
      </w:r>
    </w:p>
    <w:p>
      <w:r>
        <w:rPr>
          <w:b/>
        </w:rPr>
        <w:t>E. 6.2</w:t>
      </w:r>
    </w:p>
    <w:p>
      <w:r>
        <w:t>En l'espèce, les intimés agissent conjointement et solidairement contre les appelants qui auraient manqué à leurs devoirs de gestion de la société, en se prévalant de la cession de la créance de la société faillie contre les appelants, en réparation du dommage causé.</w:t>
      </w:r>
    </w:p>
    <w:p>
      <w:r>
        <w:t>Les intimés ont limité le montant de leur prétention commune et solidaire à un montant inférieur au dommage prétendument subi par la société, ce qu'il leur est parfaitement loisible de faire; il n'y a là aucune confusion entre le dommage subi par chaque intimé et celui subi par la société.</w:t>
      </w:r>
    </w:p>
    <w:p>
      <w:r>
        <w:t>Ce grief des appelants est donc mal fondé.</w:t>
      </w:r>
    </w:p>
    <w:p>
      <w:r>
        <w:rPr>
          <w:b/>
        </w:rPr>
        <w:t>E. 7</w:t>
      </w:r>
    </w:p>
    <w:p>
      <w:r>
        <w:t>Il y a dès lors lieu d'examiner si, en l'espèce, la société faillie a subi un dommage.</w:t>
      </w:r>
    </w:p>
    <w:p>
      <w:r>
        <w:rPr>
          <w:b/>
        </w:rPr>
        <w:t>E. 7.1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129 III 18 consid. 2.4).</w:t>
      </w:r>
    </w:p>
    <w:p>
      <w:r>
        <w:t>La société subit un dommage sous forme d'une augmentation de son passif lorsque son surendettement augmente entre le moment où sa faillite doit être prononcée et celui où elle sera finalement prononcée (ATF 136 III 322 consid. 3.2 avec références), étant précisé qu'en vertu de l'art. 725 al. 2 CO, la faillite doit être prononcée, sous réserve d'une postposition de créances, lorsqu'un bilan intermédiaire - à dresser obligatoirement en cas de soupçons sérieux d'un surendettement - révèle que les dettes sociales ne sont plus effectivement couvertes par les biens de la société (art. 725 al. 2 CO).</w:t>
      </w:r>
    </w:p>
    <w:p>
      <w:r>
        <w:t>Pour dire si le retard a causé un dommage à la société, il faut donc comparer son état de surendettement au moment où la faillite a été prononcée avec son état de surendettement au moment où elle aurait dû être prononcée (ATF précité avec références). Pour trancher cette question, il faut se fonder exclusivement sur les valeurs de liquidation (ATF précité consid. 3.2.1). Lorsque le montant exact du dommage ne peut pas être établi, le juge le détermine équitablement en</w:t>
      </w:r>
    </w:p>
    <w:p>
      <w:r>
        <w:t>- 12/17 -</w:t>
      </w:r>
    </w:p>
    <w:p>
      <w:r>
        <w:t>C/7036/2007 considération du cours ordinaire des choses et des mesures prises par la partie lésée (art. 42 al. 2 CO; ATF précité consid. 3.4.5).</w:t>
      </w:r>
    </w:p>
    <w:p>
      <w:r>
        <w:rPr>
          <w:b/>
        </w:rPr>
        <w:t>E. 7.2</w:t>
      </w:r>
    </w:p>
    <w:p>
      <w:r>
        <w:t>Seul un bilan peut révéler si les dettes sociales sont effectivement encore couvertes par les biens de la société (cf. art 725 al. 2 CO), et comme toute entreprise commerciale inscrite au Registre du commerce, la société à responsabilité limitée a l'obligation de tenir une comptabilité (art. 957 aCO; MONTAVON, SARL, Lausanne 1998, p. 69).</w:t>
      </w:r>
    </w:p>
    <w:p>
      <w:r>
        <w:t>Est obligatoire, en tout cas, l'établissement annuel du compte de pertes et profits et du bilan (art. 805 aCO, 662a ss CO, art. 958 aCO). Le compte d'exploitation et le bilan annuel doivent être complets, clairs et faciles à consulter, afin que les intéressés puissent se rendre compte aussi exactement que possible de la situation économique de l'entreprise (art. 959 aCO). Le compte de pertes et profits et le bilan doivent être signés par les personnes en charge de la gestion de la société à responsabilité limitée (art. 961 aCO) et conservés par écrit, contrairement aux autres éléments comptables qui peuvent également être conservés par un moyen électronique (art. 957 al. 3 aCO).</w:t>
      </w:r>
    </w:p>
    <w:p>
      <w:r>
        <w:rPr>
          <w:b/>
        </w:rPr>
        <w:t>E. 7.3</w:t>
      </w:r>
    </w:p>
    <w:p>
      <w:r>
        <w:t>En l'espèce, la procédure a certes permis de retrouver un certain nombre de documents comptables imprimés épars, mais ni des comptes de pertes et profits ni des bilans annuels imprimés pour chaque exercice comptable jusqu'à la faillite, et il n'a pas été possible de retrouver une comptabilité complète, claire et facile à consulter, sur des supports informatiques. Contrairement aux allégués nouveaux formulés par les appelants à la fin de la procédure de première instance, rien ne permet d'ailleurs de conclure qu'une comptabilité répondant aux exigences légales avait été enregistrée directement sur l'ordinateur de marque K.______ qui, selon l'inventaire (art. 221 LP), faisait partie des biens de la société tombée en faillite et qui a donc dû être affecté au paiement des créanciers (art. 197 al. 1 LP), par le biais d'une réalisation forcée (art. 256 ss LP).</w:t>
      </w:r>
    </w:p>
    <w:p>
      <w:r>
        <w:t>Bien au contraire, l'Office des faillites faisait normalement imprimer la comptabilité d'une société tombée en faillite si elle était sur un support informatique, et en l'occurrence, rien n'a été imprimé.</w:t>
      </w:r>
    </w:p>
    <w:p>
      <w:r>
        <w:t>De plus, aucun bilan signé, ni aucun compte d'exploitation signé n'a été retrouvé.</w:t>
      </w:r>
    </w:p>
    <w:p>
      <w:r>
        <w:t>La Cour en conclut qu'une comptabilité complète et tenue en bonne et due forme n'a jamais existé, et que les appelants, qui ont géré la société après le départ du troisième associé à début juillet 2002, se sont contentés d'établir ou de faire établir quelques documents épars.</w:t>
      </w:r>
    </w:p>
    <w:p>
      <w:r>
        <w:t>Parmi ces documents figure en tout cas un bilan (non signé) établi à fin juin 2001.</w:t>
      </w:r>
    </w:p>
    <w:p>
      <w:r>
        <w:t>- 13/17 -</w:t>
      </w:r>
    </w:p>
    <w:p>
      <w:r>
        <w:t>C/7036/2007</w:t>
      </w:r>
    </w:p>
    <w:p>
      <w:r>
        <w:t>Selon ce bilan, les dettes sociales étaient encore couvertes par les biens de la société, et la procédure n'a pas révélé l'existence de nombreuses poursuites pour dettes dirigées contre la société, ni un déficit important de trésorerie, à cette époque. La Cour en déduit que la société n'était pas encore surendettée au 30 juin 2001.</w:t>
      </w:r>
    </w:p>
    <w:p>
      <w:r>
        <w:t>En revanche, il découle des documents disponibles pour l'exercice comptable du 1er juillet 2001 au 31 décembre 2002 qu'à cette dernière date, il y avait une perte totale reportée de 105'920 fr. qui permet de conclure, en l'absence d'une comptabilité complète et en tenant compte du capital social de 22'000 fr., à un surendettement de la société au 31 décembre 2002, à concurrence de 83'920 fr. Qui plus est, il résulte du procès-verbal de réunion du 26 février 2002 (cf. lettre A.c de la partie EN FAIT supra) que la société avait alors des dettes à l'égard de plusieurs fournisseurs dont le remboursement immédiat n'était pas possible, parce que la trésorerie était mauvaise et présentait un déficit d'environ 200'000 fr., ce qui était déjà un signe d'un éventuel surendettement. Enfin, deux des trois appelants ont eux-mêmes indiqué à l'Office des faillites que le début du surendettement de la société datait de l'été 2002. La Cour en déduit que la société était en tout cas surendettée au 31 décembre 2002, et que ce surendettement était alors de 83'920 fr.</w:t>
      </w:r>
    </w:p>
    <w:p>
      <w:r>
        <w:t>Le bilan provisoire au 31 décembre 2003 indique que la situation ne s'était en tout cas pas améliorée puisque le capital social de 22'000 fr. avait déjà purement et simplement disparu de ce bilan alors que la perte cumulée était supérieure aux "comptes courants" des associés. Pendant l'année 2003, de nombreuses poursuites pour dettes avaient d'ailleurs été engagées contre la société, pour un montant d'environ 700'000 fr. (= plus de 1'000'000 fr. - 303'397 fr. 25).</w:t>
      </w:r>
    </w:p>
    <w:p>
      <w:r>
        <w:t>La situation au moment de la faillite, le 30 mars 2004, peut être déduite de la projection faite par l'Office des faillites au moment de la cession de la créance actuellement litigieuse. Selon cette projection, entreprise alors que seul l'état de collocation n'était pas encore définitif, le découvert total prévisible était de 1'511'808 fr. 03.</w:t>
      </w:r>
    </w:p>
    <w:p>
      <w:r>
        <w:t>En se basant sur ce chiffre qui est le plus récent, d'une part, et sur un surendettement de 83'920 fr. au 31 décembre 2002, d'autre part, la Cour conclut, en application de l'art. 42 al. 2 CO, à une augmentation du surendettement de 1'421'888 fr. 03 (= 1'511'808 fr. 03 - 83'920 fr.), entre le 31 décembre 2002 et le 30 mars 2004.</w:t>
      </w:r>
    </w:p>
    <w:p>
      <w:r>
        <w:t>Le montant du dommage subi par la société faillie est ainsi largement supérieur à la somme réclamée par les intimés à titre de réparation de ce dommage.</w:t>
      </w:r>
    </w:p>
    <w:p>
      <w:r>
        <w:t>- 14/17 -</w:t>
      </w:r>
    </w:p>
    <w:p>
      <w:r>
        <w:t>C/7036/2007</w:t>
      </w:r>
    </w:p>
    <w:p>
      <w:r>
        <w:rPr>
          <w:b/>
        </w:rPr>
        <w:t>E. 8</w:t>
      </w:r>
    </w:p>
    <w:p>
      <w:r>
        <w:t>L'existence d'un dommage ayant été établie, il convient d'examiner si les appelants ont violé leurs devoirs, si cette violation est en lien de causalité adéquate avec le dommage précité et s'il peut leur être reproché une faute.</w:t>
      </w:r>
    </w:p>
    <w:p>
      <w:r>
        <w:rPr>
          <w:b/>
        </w:rPr>
        <w:t>E. 8.1</w:t>
      </w:r>
    </w:p>
    <w:p>
      <w:r>
        <w:t>Comme déjà indiqué, la société à responsabilité limitée a l'obligation de tenir une comptabilité, en établissant au moins un compte de pertes et profits et un bilan annuels, complets, clairs et faciles à consulter, signés par les personnes en charge de la gestion de la société et conservés par écrit (art. 805 aCO, 662a ss CO, art. 958, 959, 961 et 957 al. 3 aCO).</w:t>
      </w:r>
    </w:p>
    <w:p>
      <w:r>
        <w:t>De surcroît, un bilan intermédiaire doit être dressé lorsqu'il existe des doutes sérieux quant à un éventuel surendettement de la société (art. 817 al. 1 aCO, art. 725 al. 2 CO), c'est-à-dire lorsqu'il est à craindre que les actifs de la société ne couvrent plus les fonds étrangers (MONTAVON, op. cit., p. 92). S'il résulte de ce bilan intermédiaire que la société à responsabilité limitée se trouve dans une situation de surendettement et si elle ne peut bénéficier de postpositions suffisantes de créances, les gérants doivent en aviser le juge (art. 817 aCO, art. 725 al. 2 CO).</w:t>
      </w:r>
    </w:p>
    <w:p>
      <w:r>
        <w:t>Pour pouvoir agir en temps utile, les gérants de la société doivent constamment surveiller la situation financière de celle-ci (LANZ, Kapitalverlust, Überschuldung und Sanierungsvereinbarung, Schweizerische Treuhand- und Revisionskammer 1985, p. 136), ce qui n'est possible qu'à l'aide d'une comptabilité suffisante. La responsabilité des gérants est donc toujours engagée en cas de défaut d'une comptabilité adéquate (MONTAVON, op. cit., p. 140). Il leur incombe en effet d'organiser l'entreprise convenablement, en veillant à une planification financière suffisante (ACJC/682/1999 consid. 3c).</w:t>
      </w:r>
    </w:p>
    <w:p>
      <w:r>
        <w:t>L'ignorance de faits qui devaient être connus, l'incompétence résignée, de même que le manque de temps ne sont pas des motifs d'exculpation (MONTAVON, loc. cit.).</w:t>
      </w:r>
    </w:p>
    <w:p>
      <w:r>
        <w:t>Par ailleurs, la jurisprudence a admis que tout retard dans le dépôt du bilan est, selon le cours ordinaire des choses et l'expérience de la vie, de nature à causer un préjudice à la société (ATF 136 III 14 consid. 2.4; 132 III 564 consid. 6.3). Il y a donc un rapport de causalité adéquate entre le retard en question et l'augmentation du surendettement de la société, et les gérants engagent leur responsabilité pour le dommage qui en résulte, lorsqu'ils tardent manifestement et sans raison valable à agir (MONTAVON, op. cit., p. 93).</w:t>
      </w:r>
    </w:p>
    <w:p>
      <w:r>
        <w:rPr>
          <w:b/>
        </w:rPr>
        <w:t>E. 8.2</w:t>
      </w:r>
    </w:p>
    <w:p>
      <w:r>
        <w:t>En l'espèce, les trois appelants, qui ont géré la société à partir de juillet 2002, respectivement à partir de novembre 2002, se sont contentés d'établir ou de faire établir quelques documents comptables épars. Ainsi, ils ont tous violé leur devoir</w:t>
      </w:r>
    </w:p>
    <w:p>
      <w:r>
        <w:t>- 15/17 -</w:t>
      </w:r>
    </w:p>
    <w:p>
      <w:r>
        <w:t>C/7036/2007 d'établir (ou de faire établir) et de conserver une comptabilité digne de ce nom et conforme à la loi.</w:t>
      </w:r>
    </w:p>
    <w:p>
      <w:r>
        <w:t>Dès lors, soit ils n'ont pas constaté le surendettement grandissant de la société parce qu'ils n'ont pas établi ou fait établir une comptabilité suffisante, soit ils ont volontairement ignoré ce surendettement dont au moins deux des trois appelants ont finalement situé le début en été 2002, après avoir constaté d'importantes difficultés de trésorerie en février 2002.</w:t>
      </w:r>
    </w:p>
    <w:p>
      <w:r>
        <w:t>En tout état, les trois appelants n'ont pas pris les mesures qui s'imposaient dès le 31 décembre 2002, selon l'art. 725 al. 2 CO, les appelants A.______ et B.______ préférant fonder, et l'appelante C.______ préférant gérer, dès septembre 2003, une nouvelle société au but social quasiment identique à celui de la société surendettée. Leur omission de prendre les mesures prévues par la loi a fait subir à la première société un dommage sous forme d'une augmentation importante de son surendettement.</w:t>
      </w:r>
    </w:p>
    <w:p>
      <w:r>
        <w:t>Ils ont agi au moins par négligence coupable, sinon de façon intentionnelle.</w:t>
      </w:r>
    </w:p>
    <w:p>
      <w:r>
        <w:t>Ceci vaut également pour l'appelante C.______ qui allègue avoir quitté sa fonction de gérante de la société surendettée en décembre 2003, soit trois mois avant la faillite et alors qu'elle était déjà occupée à gérer la nouvelle société fondée en septembre 2003.</w:t>
      </w:r>
    </w:p>
    <w:p>
      <w:r>
        <w:t>Le nombre et le volume des poursuites pour dettes introduites en 2003 démontrent toutefois que le surendettement de la société avait déjà augmenté de façon massive avant décembre 2003, et l'appelante C.______ , dont la fonction de gérante de la société surendettée n'a été radiée au Registre du commerce que quelques semaines avant la faillite, n'a rien allégué qui permettrait de soustraire une partie déterminée du surendettement finalement atteint de celui déjà causé pendant qu'elle gérait encore la société.</w:t>
      </w:r>
    </w:p>
    <w:p>
      <w:r>
        <w:t>Il s'ensuit que les trois appelants répondent de façon solidaire du dommage total causé à la société qu'ils géraient (art. 827 aCO, art. 759 CO) et qu'ils doivent par conséquent payer le montant réclamé par les intimés, lequel ne représente qu'une part mineure du découvert total.</w:t>
      </w:r>
    </w:p>
    <w:p>
      <w:r>
        <w:rPr>
          <w:b/>
        </w:rPr>
        <w:t>E. 9</w:t>
      </w:r>
    </w:p>
    <w:p>
      <w:r>
        <w:t>Ils sont dès lors déboutés de leur appel et le jugement entrepris confirmé.</w:t>
      </w:r>
    </w:p>
    <w:p>
      <w:r>
        <w:t>Les frais judiciaires d'appel sont arrêtés à 11'400 fr. (art. 95 al. 2, art. 96 CPC, art. 19 al. 3 let. c LaCC, art. 17 RTFMC) et mis à la charge des appelants, qui succombent. Ces frais judiciaires sont compensés avec l'avance de 11'400 fr. fournie par les appelants, qui reste acquise à l'Etat (art. 111 al. 1 CPC).</w:t>
      </w:r>
    </w:p>
    <w:p>
      <w:r>
        <w:t>- 16/17 -</w:t>
      </w:r>
    </w:p>
    <w:p>
      <w:r>
        <w:t>C/7036/2007</w:t>
      </w:r>
    </w:p>
    <w:p>
      <w:r>
        <w:t>Les appelants sont également condamnés aux dépens des intimés, lesquels sont arrêtés à 13'600 fr., débours et TVA compris (art. 95 al. 3 let. a et b, art. 96 CPC; art. 85 et 90 RTFMC; art. 20 al. 1, art. 25, 26 al. 1 LaCC). * * * * *</w:t>
      </w:r>
    </w:p>
    <w:p>
      <w:r>
        <w:t>- 17/17 -</w:t>
      </w:r>
    </w:p>
    <w:p>
      <w:r>
        <w:t>C/7036/2007 PAR CES MOTIFS, La Chambre civile : A la forme : Déclare recevable l'appel interjeté par A.______, B.______ et C.______ contre le jugement JTPI/2717/2013 rendu le 26 février 2013 par le Tribunal de première instance dans la cause C/7036/2007-13. Au fond : Confirme ce jugement. Déboute les parties de toutes autres conclusions. Sur les frais d'appel : Arrête les frais judiciaires d'appel à 11'400 fr. Les met à la charge de A.______, B.______ et C.______, pris conjointement et solidairement, et dit qu'ils sont compensés avec l'avance de frais de 11'400 fr. fournie par ces derniers, avance qui reste acquise à l'Etat de Genève. Condamne solidairement A.______, B.______ et C.______ à payer à D.______ SA, X. E.______ et Y. E.______, pris conjointement et solidairement, la somme de 13'600 fr., TVA comprise, à titre de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