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ACJC/1462/2015 vom 30. November 2015</w:t>
      </w:r>
    </w:p>
    <w:p>
      <w:r>
        <w:t>GE Cour de justice, 2015-11-30, FR</w:t>
      </w:r>
    </w:p>
    <w:p>
      <w:r>
        <w:rPr>
          <w:b/>
        </w:rPr>
        <w:t xml:space="preserve">Quelle: </w:t>
      </w:r>
      <w:r>
        <w:t>https://mcp.opencaselaw.ch/entscheid/ge_gerichte_ACJC_1462_2015</w:t>
      </w:r>
    </w:p>
    <w:p>
      <w:r>
        <w:t>FR: GE_GERICHTE ACJC/1462/2015 du 30 novembre 2015</w:t>
      </w:r>
    </w:p>
    <w:p>
      <w:r>
        <w:t>IT: GE_GERICHTE ACJC/1462/2015 del 30 novembre 2015</w:t>
      </w:r>
    </w:p>
    <w:p>
      <w:pPr>
        <w:pStyle w:val="Heading2"/>
      </w:pPr>
      <w:r>
        <w:t>Erwägungen</w:t>
      </w:r>
    </w:p>
    <w:p>
      <w:r>
        <w:rPr>
          <w:b/>
        </w:rPr>
        <w:t>E. 1</w:t>
      </w:r>
    </w:p>
    <w:p>
      <w:r>
        <w:t>L'intimée a conclu à ce qu'il soit ordonné à l'appelante de verser des sûretés en garantie de ses dépens, à hauteur de 145'282 fr. 63.</w:t>
      </w:r>
    </w:p>
    <w:p>
      <w:r>
        <w:rPr>
          <w:b/>
        </w:rPr>
        <w:t>E. 1.1</w:t>
      </w:r>
    </w:p>
    <w:p>
      <w:r>
        <w:t>Aux termes de l'art. 99 al. 1 CPC, le demandeur doit, sur requête du défendeur, fournir des sûretés en garantie du paiement des dépens dans les cas suivants : il n'a pas de domicile ou de siège en Suisse (let. a); il paraît insolvable, notamment en raison d'une mise en faillite, d'une procédure concordataire en cours ou de la délivrance d'actes de défaut de biens (let. b); il est débiteur de frais</w:t>
      </w:r>
    </w:p>
    <w:p>
      <w:r>
        <w:t>- 6/9 -</w:t>
      </w:r>
    </w:p>
    <w:p>
      <w:r>
        <w:t>C/11527/2007 d'une procédure antérieure (let. c); d'autres raisons font apparaître un risque considérable que les dépens ne soient pas versés (let. d). Même si l'art. 99 CPC se réfère au "demandeur", l'obligation de fournir des sûretés vaut aussi en deuxième instance, notamment à l'égard de l'appelant (arrêt du Tribunal fédéral 4A_26/2013 du 5 septembre 2013 consid. 2.2). La nature de la cause, qui exige une décision rapide, commande de lui appliquer la procédure sommaire, même si elle ne figure pas parmi les cas d'application de la procédure sommaire désignés par la loi (ACJC/1280/2015 du 21 octobre 2015 consid. 1; ACJC/1405/2012 du 28 septembre 2012 consid. 1; TC/FR Cour d'appel civil du 9 octobre 2015 consid. 2; OGer/BE ZK 14 262 du 25 août 2014 consid. 1.1; URWYLER, in DIKE Kommentar ZPO, 2011, n° 6 ad art. 99; SUTER/ VON HOLZEN, in SUTTER-SOMM/HASENBÖHLER/LEUENBERGER, Kommentar zur ZPO, 2ème éd., 2013, n° 14 ad art. 99). La décision est rendue sur la base d'un examen sommaire des faits et le juge statue après avoir entendu la partie adverse (URWYLER, op. cit., n° 6 ad art. 99; SUTER/VON HOLZEN, op. cit., n° 14 et 15 ad art. 99). En principe, c'est le défendeur requérant qui supporte la charge de l'allégation et de la preuve du motif de sûretés. Selon le motif, il résulte toutefois de la nature de la cause qu'il suffit que les allégations du requérant soient rendues vraisemblables; en particulier, lorsqu'il est allégué que les frais d'une procédure antérieure demeurent impayés, c'est au demandeur qu'il incombe cas échéant de prouver leur règlement (TC/FR Cour d'appel civil du 9 octobre 2015 consid. 2; OGer/BE ZK 14 262 précité consid. 1.2). Les sûretés peuvent généralement être demandées en tout temps, mais naturellement au plus tôt au moment où une condition permettant de les exiger s'est trouvée réalisée si elle ne l'était pas d'emblée (p. ex. en cas de dégradation de la solvabilité du demandeur en cours de procès) (TAPPY, in BOHNET et alii (édit.), CPC Code de procédure civile commenté, 2011, n° 8 ad art. 100). Il paraît toutefois résulter de la jurisprudence du Tribunal fédéral que les sûretés ne peuvent être requises que pour les dépens futurs, c'est-à-dire pour les frais qui n'ont pas déjà été occasionnés (arrêt du Tribunal fédéral 4A_188/2007 du 13 septembre 2007 consid. 1.4; ATF 118 II 87 consid. 2; 79 II 295 consid. 3), ce qui correspond effectivement à la doctrine dominante (TAPPY, op. cit., n° 8 ad art. 100; LEUENBERGER/UFFER-TOBLER, Schweizerisches Zivilprozessrecht, 2010, n° 10.24; KUSTER, in Baker &amp; McKenzie (édit.), Schweizerische Zivilprozessordnung ZPO, 2010, n° 6 ad art. 99 et les références citées), ainsi qu'à la jurisprudence de la Cour de céans (ACJC/1280/2015 du 21 octobre 2015 consid. 1; ACJC/1405/2012 du 28 septembre 2012 consid. 1).</w:t>
      </w:r>
    </w:p>
    <w:p>
      <w:r>
        <w:t>- 7/9 -</w:t>
      </w:r>
    </w:p>
    <w:p>
      <w:r>
        <w:t>C/11527/2007</w:t>
      </w:r>
    </w:p>
    <w:p>
      <w:r>
        <w:rPr>
          <w:b/>
        </w:rPr>
        <w:t>E. 1.2</w:t>
      </w:r>
    </w:p>
    <w:p>
      <w:r>
        <w:t>En l'espèce, l'intimée a déposé sa requête de sûretés peu après avoir été informée de la fusion dont a fait l'objet l'appelante. Dès lors, il ne saurait lui être reproché de ne pas avoir agi avec la célérité requise. Toutefois, il n'en demeure pas moins que la cause avait déjà été gardée à juger par la Cour de céans, à la suite de deux échanges d'écritures entre les parties, soit à un moment où tous les frais de la procédure d'appel avaient déjà été engagés. En conséquence, il n'est pas possible de discerner quels frais futurs pourraient encore justifier le versement de sûretés à ce stade de la procédure. Au demeurant, même si elle avait été recevable, cette requête de sûretés aurait dû être rejetée, au motif que l'intimée n'a pas rendu vraisemblables ses allégations selon lesquelles l'appelante se trouverait dans l'un des cas de figure visés par l'art. 99 al. 1 CPC, soit qu'elle serait insolvable (let. b) ou qu'il existerait d'autres raisons faisant apparaître un risque considérable que les dépens ne soit pas versés (let. d). Contrairement à ce que semble soutenir l'intimée, il ne résulte pas de l'extrait du registre du commerce zurichois concernant A______ AG que celle-ci serait surendettée. A la lecture dudit extrait (Faits particuliers, note n° 4 ad CHE- 2______), il appert que c'était F______ qui présentait une perte de capital, voire était surendettée. En revanche, il n'est pas possible de déduire de cet extrait du registre du commerce qu'il en irait de même de la société reprenante, A______ AG. En l'état, l'on ne dispose que de très peu d'informations sur la santé financière de celle-ci et il n'existe prima facie aucune raison de remettre en cause sa solvabilité, ce d'autant plus qu'A______ AG a été en mesure de s'acquitter d'une avance de frais complémentaire en 64'000 fr., et ce avant l'échéance du délai qui lui avait été imparti pour ce faire. Il résulte de ce qui précède que la requête de l'intimée tendant au versement de sûretés en garantie de ses dépens sera déclarée irrecevable.</w:t>
      </w:r>
    </w:p>
    <w:p>
      <w:r>
        <w:rPr>
          <w:b/>
        </w:rPr>
        <w:t>E. 2</w:t>
      </w:r>
    </w:p>
    <w:p>
      <w:r>
        <w:t>2.1.1 La légitimation des parties au procès est examinée d'office, dès lors qu'il s'agit d'une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107 II 85 consid. 2; 100 II 169 consid. 3; 97 II 97 consid. 2). 2.1.2 Aux termes de l'art. 83 al. 4 CPC, en l'absence d'aliénation de l'objet du litige, la substitution de partie est subordonnée au consentement de la partie adverse; les dispositions spéciales prévoyant la succession d'un tiers aux droits ou obligations des parties sont réservées. L'hypothèse prévue par la deuxième phrase de l'art. 83 al. 4 CPC recoupe tous les cas de succession à titre universel qui, par définition, ont pour conséquence un changement de légitimation survenant par le seul effet de la loi et sans que la volonté des parties ne joue de rôle. Dans la mesure où le droit matériel seul induit</w:t>
      </w:r>
    </w:p>
    <w:p>
      <w:r>
        <w:t>- 8/9 -</w:t>
      </w:r>
    </w:p>
    <w:p>
      <w:r>
        <w:t>C/11527/2007 un tel changement de légitimation, le juge ne doit pas avoir d'autre choix que de prendre acte de la substitution de partie qui en découle. La substitution de partie ex lege survient lorsque le changement de légitimation se produit de façon originaire, c'est-à-dire indépendamment de la volonté de celui qui perd la légitimation. Ces hypothèses recoupent les cas de succession à titre universel, à l'instar, notamment, d'une fusion (art. 22 LFus) (JEANDIN, op. cit., n° 28 s. ad art. 83 et les références citées).</w:t>
      </w:r>
    </w:p>
    <w:p>
      <w:r>
        <w:rPr>
          <w:b/>
        </w:rPr>
        <w:t>E. 2.2</w:t>
      </w:r>
    </w:p>
    <w:p>
      <w:r>
        <w:t>Au cours de la présente procédure d'appel, l'appelante a avisé la Cour de céans et l'intimée de ce que, à la suite d'une fusion, elle avait transféré l'ensemble de ses actifs et passifs à une autre société, G______ SA, renommée A______ AG, qui était désormais la partie appelante. Ce fait est notoire (cf. art. 151 CPC), dans la mesure où il résulte de l'inscription figurant du Registre du commerce du canton de Zurich. Partant, A______ AG dispose de la légitimation active et sera substituée à la précédente appelante dans la présente cause, laquelle a été radiée du Registre du commerce du canton de Zurich (cf. art. 83 al. 4 2ème phrase CPC).</w:t>
      </w:r>
    </w:p>
    <w:p>
      <w:r>
        <w:rPr>
          <w:b/>
        </w:rPr>
        <w:t>E. 3</w:t>
      </w:r>
    </w:p>
    <w:p>
      <w:r>
        <w:t>Il sera statué sur les frais et dépens de la présente décision avec l'arrêt au fond (cf. art. 104 CPC).</w:t>
      </w:r>
    </w:p>
    <w:p>
      <w:r>
        <w:rPr>
          <w:b/>
        </w:rPr>
        <w:t>E. 4</w:t>
      </w:r>
    </w:p>
    <w:p>
      <w:r>
        <w:t>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w:t>
      </w:r>
    </w:p>
    <w:p>
      <w:r>
        <w:t>- 9/9 -</w:t>
      </w:r>
    </w:p>
    <w:p>
      <w:r>
        <w:t>C/11527/2007 PAR CES MOTIFS, La Chambre civile : Préalablement : Dit que A______ AG est substituée à F______ SA en qualité de partie dans la cause C/11527/2007-3. Sur requête en fourniture de sûretés : Déclare irrecevable la requête de sûretés en garantie des dépens formée le 20 juillet 2015 par B______ dans la cause C/11527/2007-3. En tout état : Réserve la suite de la procédure. Sur les frais : Dit qu'il sera statué sur les frais et dépens de la présente décision avec la décision sur le fond.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