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ACJC/1460/2020 vom 6. Oktober 2020</w:t>
      </w:r>
    </w:p>
    <w:p>
      <w:r>
        <w:t>GE Cour de justice, 2020-10-06, FR</w:t>
      </w:r>
    </w:p>
    <w:p>
      <w:r>
        <w:rPr>
          <w:b/>
        </w:rPr>
        <w:t xml:space="preserve">Quelle: </w:t>
      </w:r>
      <w:r>
        <w:t>https://mcp.opencaselaw.ch/entscheid/ge_gerichte_ACJC_1460_2020</w:t>
      </w:r>
    </w:p>
    <w:p>
      <w:r>
        <w:t>FR: GE_GERICHTE ACJC/1460/2020 du 6 octobre 2020</w:t>
      </w:r>
    </w:p>
    <w:p>
      <w:r>
        <w:t>IT: GE_GERICHTE ACJC/1460/2020 del 6 ottobre 2020</w:t>
      </w:r>
    </w:p>
    <w:p>
      <w:pPr>
        <w:pStyle w:val="Heading2"/>
      </w:pPr>
      <w:r>
        <w:t>Erwägungen</w:t>
      </w:r>
    </w:p>
    <w:p>
      <w:r>
        <w:rPr>
          <w:b/>
        </w:rPr>
        <w:t>E. 1</w:t>
      </w:r>
    </w:p>
    <w:p>
      <w:r>
        <w:t>En vertu du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131 III 91 consid. 5.2). L'autorité à laquelle la cause est retournée peut toutefois tenir compte de faits nouveaux sur les points qui ont fait l'objet du renvoi, mais ceux-ci ne peuvent être ni étendus, ni fixés sur une base juridique nouvelle (ATF 135 III 334 consid. 2; arrêts du Tribunal fédéral 5D_17/2020 du 16 avril 2020 consid. 1.2; 4A_431/2017 du 2 mai 2018 consid. 4.1). La procédure applicable devant l'autorité à laquelle la cause est renvoyée détermine s'il est possible de présenter de nouveaux allégués ou de nouveaux moyens de preuve (ATF 135 III 334 consid. 2 et 2.1; 131 III 91 consid. 5.2; arrêts du Tribunal fédéral 5A_631/2018 du 15 février 2019 consid. 3.2.1; 4A_555/2015 du 18 mars 2016 consid. 2.2).</w:t>
      </w:r>
    </w:p>
    <w:p>
      <w:r>
        <w:t>En l'espèce, conformément à l'arrêt du Tribunal fédéral du 14 août 2020, la Cour se limitera à réexaminer les conditions de l'octroi à l'épouse de la provisio ad litem pour la procédure d'appel et, cas échéant, à en fixer le montant. Pour ce faire, la Cour doit reprendre la procédure au stade où elle se trouvait avant que l'arrêt du</w:t>
      </w:r>
    </w:p>
    <w:p>
      <w:r>
        <w:rPr>
          <w:b/>
        </w:rPr>
        <w:t>E. 4</w:t>
      </w:r>
    </w:p>
    <w:p>
      <w:r>
        <w:t>février 2020 ne soit rendu et doit ainsi tenir compte des faits allégués, des pièces produites et des conclusions prises jusqu'au moment où la cause a été gardée à juger, soit jusqu'au 22 octobre 2019. Ainsi, les allégations et pièces nouvelles de l'intimé et les conclusions nouvelles de l'appelante, en tant qu'elles dépassent le montant de 4'000 fr. à titre de provisio ad litem pour la procédure d'appel, ne sont pas recevables.</w:t>
      </w:r>
    </w:p>
    <w:p>
      <w:r>
        <w:t>- 6/9 -</w:t>
      </w:r>
    </w:p>
    <w:p>
      <w:r>
        <w:t>C/13835/2018 2. L'appelante requiert une provisio ad litem de 4'000 fr. "pour la procédure d'appel initiée par la recourante". Elle ne sollicite pas de provisio ad litem dans le cadre de la procédure d'appel introduite par son mari.</w:t>
      </w:r>
    </w:p>
    <w:p>
      <w:r>
        <w:t>2.1 2.1.1 La conclusion en paiement d'une provisio ad litem formée dans le cadre d'une requête de mesure protectrices de l'union conjugale ne peut être déclarée sans objet, respectivement rejetée, du seul fait que la procédure est arrivée à son terme. Lorsque, comme en l'espèce, des frais de procédure ont été mis à la charge de la partie qui a sollicité la provisio ad litem et que les dépens ont été compensés, une telle solution apparaît arbitraire; en effet, savoir si celle-ci dispose des moyens suffisants pour assumer lesdits frais est une question qui continue de se poser au moment où la décision finale est rendue (arrêts du Tribunal fédéral 5D_66/2020 du 14 août 2020 consid. 3.2; 5A_590/2019 du 13 février 2020 consid. 3.5; 5A_164/2019 du 20 mai 2020 consid. 6.3, destiné à la publication).</w:t>
      </w:r>
    </w:p>
    <w:p>
      <w:r>
        <w:t>2.1.2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5A_808/2016 du 21 mars 2017 consid. 4.1; 5A_784/2008 du 20 novembre 2009 consid. 2). Le fondement de cette prestation - devoir d'assistance (art. 159 al. 3 CC) ou obligation d'entretien (art. 163 CC) - est controversé (arrêts du Tribunal fédéral 5A_62/2011 du 26 juillet 2011 consid. 2.2; 5P.346/2005 du 15 novembre 2015 consid. 4.3 et les références citées, publié in FamPra.ch 2006 p. 892), mais cet aspect n'a pas d'incidence sur les conditions qui président à son octroi. En tout état de cause, selon l'art. 163 al. 1 CC, la loi n'institue plus un devoir général d'entretien à la charge du mari (art. 160 al. 2 aCC; ATF 110 II 116 consid. 2a), mais une prise en charge conjointe des besoins de la famille au regard des facultés de chacun des époux (arrêt du Tribunal fédéral 5A_590/2019 du 13 février 2020 consid. 3.3).</w:t>
      </w:r>
    </w:p>
    <w:p>
      <w:r>
        <w:t>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t>Les contributions d'entretien ayant, en principe, pour but de couvrir les besoins courants des bénéficiaires, et non de servir, comme la provisio ad litem, à assumer les frais d'un procès, l'octroi d'une telle provision peut donc être justifié indépendamment du montant de la contribution d'entretien (arrêts du Tribunal</w:t>
      </w:r>
    </w:p>
    <w:p>
      <w:r>
        <w:t>- 7/9 -</w:t>
      </w:r>
    </w:p>
    <w:p>
      <w:r>
        <w:t>C/13835/2018 fédéral 5A_808/2016 du 21 mars 2017 consid. 4.1 et 5A_372/2015 du 29 septembre 2015 consid. 4.1).</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w:t>
      </w:r>
    </w:p>
    <w:p>
      <w:r>
        <w:t>2.2 En l'espèce, des frais judiciaires à concurrence de 1'500 fr. ont été mis à la charge de l'appelante et les dépens ont été compensés, de sorte qu'il y a lieu d'examiner si l'épouse dispose des moyens suffisants pour assumer lesdits frais.</w:t>
      </w:r>
    </w:p>
    <w:p>
      <w:r>
        <w:t>Au 30 août 2019, date du dépôt de l'appel, la contribution de 6'500 fr. par mois mise à la charge de l'époux et le revenu mensuel de 200 fr. constituaient les seules ressources de l'appelante. Avec ce total de 6'700 fr., celle-ci devait assumer des charges mensuelles de 6'895 fr., de sorte qu'elle ne bénéficiait d'aucun solde disponible. Par ailleurs, il est établi qu'au 30 août 2019, l'épouse ne disposait plus que de 704 fr. 60 sur son compte bancaire et que le même jour, elle a contracté un prêt de 2'700 fr. auprès d'un ami afin de s'acquitter de ses honoraires d'avocat. Ces éléments permettent de retenir, au stade de la vraisemblance, qu'elle ne pouvait assumer les frais du procès sans recourir à des moyens qui lui étaient nécessaires pour couvrir son entretien courant.</w:t>
      </w:r>
    </w:p>
    <w:p>
      <w:r>
        <w:t>Le montant de 4'000 fr. articulé par l'appelante pour la procédure d'appel qu'elle a intentée est adéquat, compte tenu de la quotité des frais judiciaires mis à sa charge, d'une part, et de l'ampleur de la cause ainsi que de la relative complexité des questions contestées, d'autre part.</w:t>
      </w:r>
    </w:p>
    <w:p>
      <w:r>
        <w:t>Avec son disponible mensuel de 11'775 fr. l'intimé devait verser, au moment où la Cour a gardé la cause à juger, des contributions d'un total de 10'400 fr. (6'500 fr. pour l'épouse et 3'900 fr. pour les enfants), de sorte qu'il disposait mensuellement d'un montant de l'ordre de 1'300 fr. Aucun élément du dossier ne permet de retenir que l'époux disposait d'une fortune à cette époque.</w:t>
      </w:r>
    </w:p>
    <w:p>
      <w:r>
        <w:t>Il résulte de ce qui précède qu'il peut être exigé de l'intimé qu'il verse à l'appelante, pour la procédure d'appel, une provisio ad litem de 4'000 fr. à raison de quatre mensualités de 1'000 fr., de fin octobre 2020 à fin janvier 2021.</w:t>
      </w:r>
    </w:p>
    <w:p>
      <w:r>
        <w:t>- 8/9 -</w:t>
      </w:r>
    </w:p>
    <w:p>
      <w:r>
        <w:t>C/13835/2018 3. L'intimé, qui succombe (art. 106 al. 1 CPC), sera condamné à verser à l'appelante 200 fr. à titre de dépens pour la procédure consécutive au renvoi par le Tribunal fédéral. Ce montant couvre l'activité du conseil de l'épouse, qui s'est limité à persister dans ses conclusions (alors qu'en réalité il les a amplifiées). Il est donc superflu d'examiner le bien-fondé de la requête de provisio ad litem pour la procédure de renvoi. * * * * *</w:t>
      </w:r>
    </w:p>
    <w:p>
      <w:r>
        <w:t>- 9/9 -</w:t>
      </w:r>
    </w:p>
    <w:p>
      <w:r>
        <w:t>C/13835/2018 PAR CES MOTIFS, La Chambre civile : Statuant sur renvoi du Tribunal fédéral sur provisio ad litem : Condamne B______ à fournir à A______, pour la procédure d'appel, une provisio ad litem de 4'000 fr., moyennant quatre mensualités de 1'000 fr. à verser avant la fin de chaque mois d'octobre 2020 à janvier 2021. Condamne B______ à payer à A______ 200 fr. à titre de dépens d'appel pour la procédure consécutive au renvoi. Déboute les parties de toutes autres conclusions sur provisio ad litem.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