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ACJC/145/2024 vom 8. Februar 2024</w:t>
      </w:r>
    </w:p>
    <w:p>
      <w:r>
        <w:t>GE Cour de justice, 2024-02-08, FR</w:t>
      </w:r>
    </w:p>
    <w:p>
      <w:r>
        <w:rPr>
          <w:b/>
        </w:rPr>
        <w:t xml:space="preserve">Quelle: </w:t>
      </w:r>
      <w:r>
        <w:t>https://mcp.opencaselaw.ch/entscheid/ge_gerichte_ACJC_145_2024</w:t>
      </w:r>
    </w:p>
    <w:p>
      <w:r>
        <w:t>FR: GE_GERICHTE ACJC/145/2024 du 8 février 2024</w:t>
      </w:r>
    </w:p>
    <w:p>
      <w:r>
        <w:t>IT: GE_GERICHTE ACJC/145/2024 del 8 febbraio 2024</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1.2</w:t>
      </w:r>
    </w:p>
    <w:p>
      <w:r>
        <w:t>Dans le cadre d'un recours, les conclusions, les allégations de faits et les preuves nouvelles sont irrecevables (art. 326 al. 1 CPC).</w:t>
      </w:r>
    </w:p>
    <w:p>
      <w:r>
        <w:t>Les allégués nouveaux et les pièces nouvelles de la recourante ne sont donc pas recevables.</w:t>
      </w:r>
    </w:p>
    <w:p>
      <w:r>
        <w:rPr>
          <w:b/>
        </w:rPr>
        <w:t>E. 2</w:t>
      </w:r>
    </w:p>
    <w:p>
      <w:r>
        <w:t>La recourante reproche au Tribunal d'avoir prononcé l'irrecevabilité de sa requête. Elle soutient qu'elle n'avait pas compris qu'il lui avait été demandé par l'ordonnance du 25 juillet 2023 de produire le commandement de payer, poursuite n° 1______.</w:t>
      </w:r>
    </w:p>
    <w:p>
      <w:r>
        <w:rPr>
          <w:b/>
        </w:rPr>
        <w:t>E. 2.1</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w:t>
      </w:r>
    </w:p>
    <w:p>
      <w:r>
        <w:t>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5A_58/2015 du 28 avril 2015 consid. 3, non publié aux ATF 141 III 185).</w:t>
      </w:r>
    </w:p>
    <w:p>
      <w:r>
        <w:t>- 4/5 -</w:t>
      </w:r>
    </w:p>
    <w:p>
      <w:r>
        <w:t>C/11365/2023</w:t>
      </w:r>
    </w:p>
    <w:p>
      <w:r>
        <w:rPr>
          <w:b/>
        </w:rPr>
        <w:t>E. 2.2</w:t>
      </w:r>
    </w:p>
    <w:p>
      <w:r>
        <w:t>Selon l'art. 56 CPC, le tribunal interpelle les parties lorsque leurs actes ou déclarations sont peu clairs, contradictoires, imprécis, ou manifestement incomplets.</w:t>
      </w:r>
    </w:p>
    <w:p>
      <w:r>
        <w:t>Le devoir d'interpellation, dans le cadre d'une procédure de mainlevée, ne devrait trouver application qu'en cas d'absence du commandement de payer, voire du titre de mainlevée s'il est annoncé comme annexé à la requête mais omis par mégarde (ABBET, La mainlevée de l'opposition, 2ème éd. 2022, ad art. 84 n. 57).</w:t>
      </w:r>
    </w:p>
    <w:p>
      <w:r>
        <w:rPr>
          <w:b/>
        </w:rPr>
        <w:t>E. 2.3</w:t>
      </w:r>
    </w:p>
    <w:p>
      <w:r>
        <w:t>En l'espèce, la recourante a expressément annoncé dans sa requête qu'elle joignait le commandement de payer, poursuite n° 1______, soit celui qui était frappé de l'opposition dont elle requérait la mainlevée, mais ne l'a pas fait figurer dans les pièces déposées.</w:t>
      </w:r>
    </w:p>
    <w:p>
      <w:r>
        <w:t>En application de l'art. 56 CPC, le Tribunal a, à raison, considéré qu'il s'agissait d'une omission, dont il a requis la réparation en fixant un délai pour la production de la pièce manquante, sous peine d'irrecevabilité.</w:t>
      </w:r>
    </w:p>
    <w:p>
      <w:r>
        <w:t>Il incombait ainsi à la recourante de déposer le titre annoncé dans sa requête, dont il lui était expressément indiqué qu'il manquait dans les annexes versées, et non un quelconque autre document. Contrairement à ce qu'elle soutient, point n'est besoin d'être au bénéfice d'une formation juridique pour comprendre la portée d'une telle interpellation du Tribunal.</w:t>
      </w:r>
    </w:p>
    <w:p>
      <w:r>
        <w:t>Faute pour elle de s'être exécutée dans le sens requis, le premier juge a, à bon droit, prononcé l'irrecevabilité de la requête.</w:t>
      </w:r>
    </w:p>
    <w:p>
      <w:r>
        <w:t>Le recours est ainsi infondé.</w:t>
      </w:r>
    </w:p>
    <w:p>
      <w:r>
        <w:t>Il sera rappelé à la recourante qu'elle demeure en mesure d'introduire une nouvelle requête au Tribunal en produisant les titres utiles, tant que le délai prévu à l'art. 88 al. 2 LP n'est pas échu.</w:t>
      </w:r>
    </w:p>
    <w:p>
      <w:r>
        <w:rPr>
          <w:b/>
        </w:rPr>
        <w:t>E. 3</w:t>
      </w:r>
    </w:p>
    <w:p>
      <w:r>
        <w:t>La recourante, qui succombe, supportera les frais de son recours (art. 106 al. 1 LP), arrêtés à 600 fr. (art. 48, 61 OELP), compensés avec l'avance opérée, acquise à l'Etat de Genève (art. 111 al. 1 CPC). * * * * *</w:t>
      </w:r>
    </w:p>
    <w:p>
      <w:r>
        <w:t>- 5/5 -</w:t>
      </w:r>
    </w:p>
    <w:p>
      <w:r>
        <w:t>C/11365/2023 PAR CES MOTIFS, La Chambre civile :</w:t>
      </w:r>
    </w:p>
    <w:p>
      <w:r>
        <w:t>A la forme : Déclare recevable le recours formé le 9 novembre 2023 par A______ contre le jugement JTPI/12207/2023 rendu le 16 octobre 2023 par le Tribunal de première instance dans la cause C/11365/2023–9 SML. Au fond : Rejette ce recours. Déboute les parties de toutes autres conclusions. Sur les frais : Arrête les frais du recours à 600 fr., compensés avec l'avance effectuée, acquise à l'ETAT DE GENEVE. Les met à la charge de A______.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