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ACJC/145/2021 vom 9. Februar 2021</w:t>
      </w:r>
    </w:p>
    <w:p>
      <w:r>
        <w:t>GE Cour de justice, 2021-02-09, FR</w:t>
      </w:r>
    </w:p>
    <w:p>
      <w:r>
        <w:rPr>
          <w:b/>
        </w:rPr>
        <w:t xml:space="preserve">Quelle: </w:t>
      </w:r>
      <w:r>
        <w:t>https://mcp.opencaselaw.ch/entscheid/ge_gerichte_ACJC_145_2021</w:t>
      </w:r>
    </w:p>
    <w:p>
      <w:r>
        <w:t>FR: GE_GERICHTE ACJC/145/2021 du 9 février 2021</w:t>
      </w:r>
    </w:p>
    <w:p>
      <w:r>
        <w:t>IT: GE_GERICHTE ACJC/145/2021 del 9 febbraio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pécuniaire, atteignant la valeur litigieuse minimale de 10'000 fr. au vu des conclusions restées litigieuses devant le premier juge (art. 92 al. 2 CPC), l'appel est en l'espèce recevable.</w:t>
      </w:r>
    </w:p>
    <w:p>
      <w:r>
        <w:rPr>
          <w:b/>
        </w:rPr>
        <w:t>E. 1.2</w:t>
      </w:r>
    </w:p>
    <w:p>
      <w:r>
        <w:t>La Cour revoit la cause avec un plein pouvoir d'examen (art. 310 CPC). Si l'instance d'appel applique le droit d'office, elle le fait uniquement, en vertu de l'art. 311 al. 1 CPC, sur les points du jugement que l'appelant estime entachés d'erreurs et qui ont fait l'objet d'une motivation suffisante – et , partant, recevable – pour violation du droit ou pour constatation inexacte des faits. Le fait que le juge d'appel applique le droit ne supprime pas l'exigence de motivation consacrée à l'art. 311 CPC (arrêts du Tribunal fédéral 4A_349/2015 du 5 janvier 2016 consid. 1.5 et 4A_263/2015 du 29 septembre 2015 consid. 5.2.2).</w:t>
      </w:r>
    </w:p>
    <w:p>
      <w:r>
        <w:t>- 7/18 -</w:t>
      </w:r>
    </w:p>
    <w:p>
      <w:r>
        <w:t>C/4825/2020 En l'espèce, le Tribunal a prononcé les mesures protectrices de l'union conjugale à compter de la date du dépôt de la requête. L'appelant a conclu en appel à ce que la contribution d'entretien soit fixée dès le prononcé des mesures protectrices de l'union conjugale mais il ne ressort de son écriture aucune motivation à cet égard. Partant, la Cour n'entrera pas en matière sur ce point. Le premier juge a également pris en compte les "autres frais forfaitaires" perçus par l'appelant dans les revenus de ce dernier. L'appelant n'en tient pas compte dans le cadre de son appel sans en expliquer la raison. Sa critique n'étant pas suffisamment motivée, elle est irrecevable.</w:t>
      </w:r>
    </w:p>
    <w:p>
      <w:r>
        <w:rPr>
          <w:b/>
        </w:rPr>
        <w:t>E. 1.3</w:t>
      </w:r>
    </w:p>
    <w:p>
      <w:r>
        <w:t>La Cour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Les maximes de disposition et inquisitoire simples sont applicables s'agissant de la contribution d'entretien due à l'époux (art. 58 et 272 CPC; ATF 129 III 417; arrêt du Tribunal fédéral 5A_315/2016 du 7 février 2017 consid. 9.1).</w:t>
      </w:r>
    </w:p>
    <w:p>
      <w:r>
        <w:rPr>
          <w:b/>
        </w:rPr>
        <w:t>E. 2</w:t>
      </w:r>
    </w:p>
    <w:p>
      <w:r>
        <w:t>Les parties ont produit de nouvelles pièces et l'intimée a allégué des faits nouveaux.</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(arrêt du Tribunal fédéral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w:t>
      </w:r>
    </w:p>
    <w:p>
      <w:r>
        <w:t>- 8/18 -</w:t>
      </w:r>
    </w:p>
    <w:p>
      <w:r>
        <w:t>C/4825/2020 principaux de première instance (arrêt du Tribunal fédéral 5A_266/2015 du 24 juin 2015 consid. 3.2.3). La maxime inquisitoire simple ne fait pas obstacle à une application stricte de l'art. 317 CPC (ATF 138 III 625 consid. 2.2; arrêts du Tribunal fédéral 5A_807/2012 du 6 février 2013 consid. 5.3; 5A_63/2012 du 20 juin 2012 consid. 2.2).</w:t>
      </w:r>
    </w:p>
    <w:p>
      <w:r>
        <w:rPr>
          <w:b/>
        </w:rPr>
        <w:t>E. 2.2</w:t>
      </w:r>
    </w:p>
    <w:p>
      <w:r>
        <w:t>En l'espèce, s'agissant des pièces produites par l'intimée, l'attestation datée du 11 novembre 2020, soit après que la cause a été gardée à juger par le Tribunal, et produite à l'appui de la réponse, est recevable, de même que les faits qui s'y rapportent. Il en va de même de la lettre du 26 novembre 2020, des extraits du Registre foncier portugais du 10 décembre 2020 et l'avis de débit bancaire du 30 novembre 2020 mais non de l'avis de débit bancaire du 30 octobre 2020 ni de l'extrait de "patrimonio predial / cadernetas" qui n'est pas daté. En effet, la première pièce, bien que postérieure à la mise en délibération de la cause par le Tribunal, aurait pu et dû être produite à l'appui de la réponse à l'appel du 12 novembre 2020; n'ayant été versée au dossier qu'avec la duplique du 10 décembre 2020, elle est tardive et donc irrecevable ainsi que les faits qu'elle tend à prouver. S'agissant de la seconde pièce, non datée, il n'est pas rendu vraisemblable qu'elle n'aurait pas pu être produite par l'intimée devant le premier juge; elle est par conséquent irrecevable, de même que les faits qui s'y rapportent. Les pièces produites par l'appelant sont toutes postérieures à la mise en délibération de la cause par le premier juge; elles n'auraient ainsi pas pu lui être soumises. Cela étant, la pièce n° 20, datée du 19 août 2020, n'a été transmise à la Cour que dans le cadre de la réplique du 30 novembre 2020 alors qu'elle aurait dû être produite à l'appui du mémoire d'appel du 5 octobre 2020. Elle est donc tardive et, par conséquent, irrecevable, de même que les faits qui s'y rapportent. Le courrier du 25 novembre 2020 et les faits allégués sont recevables puisqu'ils ont été produits sans délai.</w:t>
      </w:r>
    </w:p>
    <w:p>
      <w:r>
        <w:rPr>
          <w:b/>
        </w:rPr>
        <w:t>E. 3</w:t>
      </w:r>
    </w:p>
    <w:p>
      <w:r>
        <w:t>L'appelant conteste le montant de la contribution d'entretien fixée par le Tribunal en faveur de l'intimée. Il soutient que la méthode à appliquer aurait dû être celle du maintien du train de vie mené durant la vie commune. En outre, ses propres revenus auraient été surévalués puisqu'il ne perçoit plus aucun gain de formateur et ses frais de représentation n'auraient pas dû être pris en compte, de même que l'"allocation familiale" qu'il perçoit de son employeur. Des revenus hypothétiques sur la fortune mobilière et immobilière de l'intimée auraient dû être imputés à celle-ci, ce qui lui permettrait d'assumer ses propres charges. Les frais relatifs aux enfants majeurs, dont l'appelant s'acquitte, auraient également dû être pris en compte. L'intimée fait valoir une augmentation de son loyer.</w:t>
      </w:r>
    </w:p>
    <w:p>
      <w:r>
        <w:t>- 9/18 -</w:t>
      </w:r>
    </w:p>
    <w:p>
      <w:r>
        <w:t>C/4825/2020</w:t>
      </w:r>
    </w:p>
    <w:p>
      <w:r>
        <w:rPr>
          <w:b/>
        </w:rPr>
        <w:t>E. 3.1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3.1.1</w:t>
      </w:r>
    </w:p>
    <w:p>
      <w:r>
        <w:t>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qui consiste à prendre en considération le minimum vital du droit des poursuites auquel sont ajoutées les dépenses incompressibles, puis à répartir l'éventuel excédent une fois les besoins élémentaires de chacun couverts (ATF 126 III 8 in SJ 2000 I 95; arrêt du Tribunal fédéral 5C_100/2002 du 11 juillet 2002 consid. 3.1; SPYCHER, Kindesunterhalt: Rechtliche Grundlagen und praktische Herausforderungen - heute und demnächst, in FamPra 2016, p. 12; STOUDMANN, Le nouveau droit de l'entretien de l'enfant en pratique, in RMA 2016, p. 434). En cas de situation financière favorable (i.e. plus de 13'000 fr. de revenus, sans charge de loyer : arrêt du Tribunal fédéral 5A_584/2008 du 6 mai 2009 consid. 4; revenu familial de plus de 16'000 fr.: ATF 115 II 424 consid. 2),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w:t>
      </w:r>
    </w:p>
    <w:p>
      <w:r>
        <w:t>- 10/18 -</w:t>
      </w:r>
    </w:p>
    <w:p>
      <w:r>
        <w:t>C/4825/2020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rPr>
          <w:b/>
        </w:rPr>
        <w:t>E. 3.1.2</w:t>
      </w:r>
    </w:p>
    <w:p>
      <w:r>
        <w:t>Pour fixer la contribution d'entretien, le juge doit en principe tenir compte du revenu effectif des parties (ATF 137 III 118 consid. 2.3; 137 III 102 consid. 4.2.2.2; arrêt du Tribunal fédéral 5A_876/2016 du 19 juin 2017 consid. 3.1.2). Le juge peut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En principe, le défraiement des frais de représentation doit être considéré comme de la rémunération lorsque l'effectivité de ces frais n'est pas rendue vraisemblable (ATF 112 III 19 consid. 2b/c; arrêts du Tribunal fédéral 5A_751/2019 du 25 février 2020 consid. 3.1.2; 5A_583/2016 du 4 avril 2017 consid. 4.2.3; 5A_302/2011 du 30 septembre 2011 consid. 5.3; 5A_686/2010 du 6 décembre 2010 consid. 2.3, publié in FramPra.ch 2011 p. 483; 5A_340/2008 consid. 2; CHAIX, Commentaire romand, Code civil I, 2010, n. 7 ad art. 176 CC; DOLDER/DIETHELM, Eheschutz (Art. 175 ff. ZGB) - ein aktueller Überblick, PJA 2003, p. 655 ss, p. 657). Le fardeau de la preuve, respectivement de la vraisemblance, incombe à la partie qui allègue que ce remboursement porte sur des dépenses effectives (art. 8 CC; FamPra.ch 2007 p. 162 consid. 2.2c). Le juge peut également prendre en considération le revenu de la fortune, au même titre que le revenu de l'activité lucrative; lorsque la fortune ne produit aucun ou qu'un faible rendement, il peut être tenu compte d'un revenu hypothétique (ATF 117 II 16 consid. 1b; arrêts 5A_687/2011 du 17 avril 2012 consid. 5.1.1; 5A_14/2008 du 28 mai 2008 consid. 5 publié in FamPra.ch 2009 p. 206). Si les revenus (du travail et de la fortune) suffisent à l'entretien des conjoints, la substance de la fortune n'est normalement pas prise en considération. La fortune accumulée dans un but de prévoyance pour les vieux jours ne peut pas être utilisée lorsque les biens patrimoniaux ne sont pas aisément réalisables, qu'ils ont été acquis par succession ou investis dans la maison d'habitation (arrêt du Tribunal fédéral 5A_372/2015 du 29 septembre 2015 consid. 2.1.2). En règle générale, on ne saurait attendre du conjoint débirentier qu'il travaille à plus de 100%. Des dérogations à ce principe sont admises, si la possibilité d'exercer une activité accessoire existe réellement et qu'une telle activité peut être</w:t>
      </w:r>
    </w:p>
    <w:p>
      <w:r>
        <w:t>- 11/18 -</w:t>
      </w:r>
    </w:p>
    <w:p>
      <w:r>
        <w:t>C/4825/2020 raisonnablement exigée de la part de la personne précitée (FamPra.ch 2008 p. 373 consid. 3.2.1). Les allocations familiales versées à la personne tenue de pourvoir à l'entretien de l'enfant doivent être payées en sus de la contribution d'entretien (art. 285a al. 1 CC). Elles font partie des revenus de l'enfant et non du parent (arrêt du Tribunal fédéral 5A_386/2012 du 23 juillet 2012 consid. 4.2.1; 5A_402/2010 du 10 septembre 2010 consid. 4.2.4).</w:t>
      </w:r>
    </w:p>
    <w:p>
      <w:r>
        <w:rPr>
          <w:b/>
        </w:rPr>
        <w:t>E. 3.1.3</w:t>
      </w:r>
    </w:p>
    <w:p>
      <w:r>
        <w:t>S'agissant des charges, seules les charges effectives, dont le débirentier ou le crédirentier s'acquitte réellement, doivent être prises en compte (ATF 140 III 337 consid. 4.2.3, 121 III 20 consid. 3a; arrêts du Tribunal fédéral 5A_65/2013 du</w:t>
      </w:r>
    </w:p>
    <w:p>
      <w:r>
        <w:rPr>
          <w:b/>
        </w:rPr>
        <w:t>E. 3.1.4</w:t>
      </w:r>
    </w:p>
    <w:p>
      <w:r>
        <w:t>Le minimum vital du débirentier doit dans tous les cas être préservé (ATF 135 III 66, in JT 2010 I 167; 127 III 68 consid. 2, in SJ 2001 I 280; arrêt du Tribunal fédéral 5A_662/2013 du 24 juin 2014 consid. 3.2.1).</w:t>
      </w:r>
    </w:p>
    <w:p>
      <w:r>
        <w:rPr>
          <w:b/>
        </w:rPr>
        <w:t>E. 3.2</w:t>
      </w:r>
    </w:p>
    <w:p>
      <w:r>
        <w:t>En l'espèce, il y a lieu de déterminer d'abord si le Tribunal a appliqué la méthode adéquate pour fixer la contribution d'entretien. L'appelant relève que l'intimée a elle-même utilisé la méthode du train de vie pour calculer la</w:t>
      </w:r>
    </w:p>
    <w:p>
      <w:r>
        <w:t>- 12/18 -</w:t>
      </w:r>
    </w:p>
    <w:p>
      <w:r>
        <w:t>C/4825/2020 contribution d'entretien qu'elle réclame. Par ailleurs, les parties n'auraient jamais allégué ne pas avoir réalisé d'économies durant le mariage. Au vu des revenus de la famille, la situation financière des parties doit être considérée comme favorable. Dans ce cas, deux méthodes de calcul sont possibles, dont la méthode choisie par le premier juge du minimum vital élargi avec répartition de l'excédent. Comme souligné par l'appelant, les parties n'ont pas allégué qu'elles n'avaient pas réalisé d'économies durant le mariage. Il n'est pas non plus rendu vraisemblable que la famille dépensait l'entier des revenus de l'appelant. Au contraire, il apparaît à la lecture de la déclaration fiscale 2018 et des relevés de comptes bancaires que ceux de l'intimée font état de soldes importants, dont un compte de plus de 300'000 fr. L'intimée n'a pas rendu vraisemblable que ce montant proviendrait essentiellement de sa mère, contrairement aux montants déposés sur les comptes en USD et CAD qui, à teneur de l'attestation signée par sa mère, lui avaient été donnés. Elle n'a pas non plus allégué avoir constitué cette fortune avant le mariage. Les 300'000 fr. sont donc présumés être des économies constituées par les parties durant le mariage. Par ailleurs, l'existence de deux ménages séparés n'absorbe pas l'intégralité des revenus de l'appelant comme il sera vu ci-après, ce qui corrobore le fait que l'appelant constituait une quote-part d'épargne. La Cour appliquera dès lors la méthode du train de vie, laquelle apparaît la plus conforme à la situation financière de la famille. Il y a maintenant lieu de réexaminer la situation financière des parties. 3.2.1.1 S'agissant des revenus de l'intimée, il n'est pas rendu vraisemblable que ses fonds auraient été investis de manière à procurer à l'intimée des revenus ni que l'intimée serait au bénéfice d'une formation permettant de faire fructifier sa fortune. En outre, l'appelant n'allègue pas que cette fortune mobilière – ou les revenus de celle-ci – aurait été mise à contribution durant la vie commune pour subvenir aux besoins de la famille, puisqu'il a déclaré en première instance avoir contribué seul depuis de nombreuses années à l'entretien de la famille. Les revenus de l'appelant sont en outre suffisants pour couvrir l'augmentation des charges des parties en lien avec l'existence de deux ménages séparés. Il n'y a dès lors pas lieu d'exiger de l'intimée, au stade des mesures protectrices de l'union conjugale, qu'elle entame sa fortune mobilière ni de lui imputer un revenu hypothétique sur sa fortune pour subvenir à ses besoins. Par conséquent, à l'instar de ce qu'a fait le premier juge, il ne sera pas tenu compte d'éventuels revenus de la fortune mobilière de l'intimée ni de ladite fortune. L'appelant soutient également que le Tribunal aurait dû prendre en compte un revenu locatif des biens immobiliers dont l'intimée est propriétaire au Portugal. Bien que l'intimée ait inscrit dans la déclaration fiscale 2018 des parties qu'elle était propriétaire à 100% d'un seul bien à O______ (Portugal), elle a fait figurer</w:t>
      </w:r>
    </w:p>
    <w:p>
      <w:r>
        <w:t>- 13/18 -</w:t>
      </w:r>
    </w:p>
    <w:p>
      <w:r>
        <w:t>C/4825/2020 dans ce document la moitié de la valeur des trois biens cumulés indiqués dans les extraits du Registre foncier portugais qu'elle a produits en appel. Par ailleurs, de ces derniers, il ressort qu'elle n'est pas l'unique propriétaire de ces immeubles mais qu'elle est copropriétaire avec sa sœur, ce qui fonde la mention de la moitié de la valeur des biens dans la déclaration fiscale précitée. Il est donc établi par pièces que l'intimée n'est que copropriétaire desdits biens à parts égales avec sa sœur. Elle ne peut ainsi décider seule de mettre les biens précités en location et doit, en tout état, partager les éventuels revenus en découlant. Enfin, il n'est pas rendu vraisemblable que les biens immobiliers seraient en état d'être loués ni que des loyers pourraient en être perçus. Au vu de la faible valeur de ces biens, ces loyers après partage avec l'autre copropriétaire seraient probablement modestes. Partant, il n'y a pas lieu d'imputer à l'intimée un revenu locatif hypothétique. Enfin, l'appelant n'alléguant pas que l'intimée serait en mesure de travailler, il n'y a pas lieu d'examiner si un revenu hypothétique peut être imputé à l'épouse. A la lumière des éléments qui précèdent, c'est à juste titre que le premier juge a retenu que des revenus de l'intimée, qu'ils soient effectifs ou hypothétiques, n'entrent pas en considération. 3.2.1.2 En ce qui concerne les charges de l'intimée, l'appelant ne les conteste pas, hormis l'augmentation du loyer. L'intimée allègue que son loyer de 1'000 fr. a augmenté une première fois à 1'500 fr. avec effet au 1er septembre 2020 puis une seconde fois à 2'500 fr. à compter du 1er janvier 2021, ce qu'elle rend vraisemblable non seulement par l'attestation du bailleur du 10 novembre 2020 mais également par la preuve de paiement fournie s'agissant du montant de 1'500 fr. Cette augmentation sera dès lors prise en compte. Le déficit de l'intimée arrêté par le premier juge à hauteur de 3'450 fr. sera par conséquent confirmé jusqu'au 31 août 2020. Du 1er septembre au 31 décembre 2020, le déficit s'élève à 3'950 fr. (3'450 fr. + 500 fr.) et dès le 1er janvier 2021, à 4'950 fr. (3'450 fr. + 1'500 fr.). 3.2.2.1 En ce qui concerne ses revenus, l'appelant reproche tout d'abord au premier juge d'avoir tenu compte de ses frais de représentation. Or, il ne démontre pas, ni ne rend vraisemblable que le remboursement de ces frais porterait sur des dépenses effectives. Contrairement à ce que prétend l'appelant, le fardeau de la vraisemblance est à sa charge et non à celle de l'intimée. C'est par conséquent à juste titre que le premier juge a pris en compte les frais forfaitaires de représentation de l'appelant dans ses revenus, à savoir un montant net de 9'050 fr. par année. En ce qui concerne les 250 fr. d'"allocation familiale" reçus de son employeur, c'est à juste titre que l'appelant les déduit de son revenu, puisque celle-ci est destinée aux enfants et non à l'appelant.</w:t>
      </w:r>
    </w:p>
    <w:p>
      <w:r>
        <w:t>- 14/18 -</w:t>
      </w:r>
    </w:p>
    <w:p>
      <w:r>
        <w:t>C/4825/2020 Enfin, s'agissant des revenus accessoires de formateur de l'appelant, il est établi que ce dernier exerçait une telle activité en sus de son emploi à temps plein durant la vie commune, de sorte qu'il peut être raisonnablement exigé de lui qu'il continue à l'exercer après la séparation. En ce qui concerne l'existence d'une possibilité réelle de l'exercer, la situation actuelle de crise sanitaire a fortement réduit la demande de formation. Cela étant, cette situation n'est pas appelée à durer, de sorte qu'il ne peut être exclu que la demande augmente une fois la crise passée. Cela est d'autant plus vrai que l'appelant n'a pas rendu vraisemblable que [l'établissement de formation] L______ ne fera plus appel à lui suite à cette crise. Au contraire, il ressort du courriel du 26 mai 2020 adressé à l'appelant par L______, que cette institution souhaite "augmenter le volume de cours pour rattraper ce catastrophique premier semestre". L'appelant sera alors en mesure de reprendre cette activité et de percevoir à nouveau des revenus accessoires. Compte tenu du fait que ceux-ci sont variables d'année en année, le premier juge a, à juste titre, effectué une moyenne et retenu un montant net de 9'174 fr. ([18'347 fr. 45 pour 2019 + 0 fr. pour 2020] / 2) par année. Ce montant sera par conséquent confirmé. A la lumière des éléments qui précèdent, les revenus de l'appelant seront arrêtés à 14'020 fr. (148'577 fr. + 9'050 fr. + 1'440 fr. + 3'000 fr. + 9'174 fr. = 171'241 fr. / 12 mois = 14'270 fr. – 250 fr. d'"allocation familiale" = 14'020 fr.) 3.2.2.2 Les charges de l'appelant, telles que retenues par le premier juge, ne sont pas contestées. Son solde disponible s'élève par conséquent à 5'725 fr. (14'020 fr. – 8'295 fr.). L'appelant reproche au premier juge de ne pas avoir tenu compte des frais relatifs aux enfants majeurs dont il s'acquitte. Le premier juge a retenu que la contribution d'entretien en faveur du conjoint prime la contribution en faveur des enfants majeurs. Or, selon la jurisprudence précitée, ce principe ne s'applique qu'en cas de ressources insuffisantes, ce qui n'est pas le cas en l'espèce, puisque les revenus de l'appelant permettent de couvrir ses charges et celles de l'intimée et des enfants majeurs, comme il sera vu ci-après. Le Tribunal aurait ainsi dû tenir compte des frais des enfants majeurs en tant qu'ils sont établis, réguliers et raisonnables au vu de la situation financière de l'appelant. Les primes d'assurance-maladie et les frais médicaux non remboursés, lesquels sont régulièrement acquittés par l'appelant – ce que l'intimée reconnaît – seront ainsi retenus. L'appelant a également établi par pièce s'être acquitté de la taxe d'inscription universitaire de son fils aîné de 500 fr. au semestre de printemps 2020, soit un montant de 83 fr. 35 par mois, montant raisonnable au vu de la situation financière de l'appelant. Ce montant doit donc également être retenu.</w:t>
      </w:r>
    </w:p>
    <w:p>
      <w:r>
        <w:t>- 15/18 -</w:t>
      </w:r>
    </w:p>
    <w:p>
      <w:r>
        <w:t>C/4825/2020 S'agissant du "minimum vital" allégué par l'appelant à hauteur de 1'000 fr. pour chacun des enfants majeurs, il n'y a pas lieu d'en tenir compte, l'appelant n'ayant pas rendu vraisemblable devoir s'acquitter de ces frais-là. En particulier, il peut être raisonnablement exigé des enfants majeurs que ceux-ci contribuent à leurs frais d'existence par leurs propres ressources, ce d'autant plus si leurs primes d'assurance-maladie et leur loyer, soit des postes importants, sont pris en charge par leur père, avec lequel ils vivent – l'intimée n'ayant pas rendu vraisemblable le contraire. Par ailleurs, il y a lieu de relever que la base mensuelle OP de l'appelant a été retenue à hauteur de 1'350 fr. et non 1'200 fr., ce qui permet à l'appelant, cas échéant, d'alléger encore quelque peu la charge que représentent pour lui les deux enfants majeurs. Partant, les charges mensuelles de F______, assumées par l'appelant, s'élèvent à 46 fr. 05 (407 fr. 55 de prime LAMal + 61 fr. de prime LCA + 19 fr. 15 de frais médicaux non couverts [229 fr. 55 / 12 mois] + 83 fr. 35 de frais d'inscription universitaires [(2 x 500 fr.) / 12] – 400 fr. d'allocation de formation – 125 fr. d'"allocation familiale"). Concernant G______, elles s'élèvent à 30 fr. 65 (448 fr. 35 de prime LAMal + 39 fr. 10 de prime LCA + 68 fr. 20 de frais médicaux non couverts [818 fr. 40 / 12 mois] – 400 fr. d'allocation de formation – 125 fr. d'"allocation familiale"). Le solde disponible de l'appelant est ainsi de 5'648 fr. 30 par mois (14'020 fr. – 8'295 fr. – 46 fr. 05 – 30 fr. 65)</w:t>
      </w:r>
    </w:p>
    <w:p>
      <w:r>
        <w:rPr>
          <w:b/>
        </w:rPr>
        <w:t>E. 3.2.3</w:t>
      </w:r>
    </w:p>
    <w:p>
      <w:r>
        <w:t>Ce solde est suffisant pour couvrir le déficit de l'intimée s'élevant à 3'450 fr. jusqu'au 31 août 2020 ainsi que celui du 1er septembre au 31 décembre 2020, s'élevant à 3'950 fr. (cf. supra consid. 3.2.1.2), de sorte que la contribution d'entretien en faveur de l'intimée sera fixée à hauteur du déficit de celle-ci pour ces périodes-là. A compter du 1er janvier 2021, le déficit de l'intimée s'élève à 4'950 fr. Comme l'intimée n'a pas formé appel contre le jugement et la Cour est liée par les conclusions des parties, la contribution d'entretien fixée par le premier juge à hauteur de 4'100 fr. sera confirmée. Ce montant est inférieur au solde disponible de l'appelant. Il lui est donc loisible de verser, à son gré, une part supplémentaire à l'entretien des enfants majeurs. Par conséquent, le chiffre 5 du dispositif du jugement entrepris sera réformé dans le sens que l'appelant sera condamné à verser à l'intimée au titre de contribution d'entretien, par mois et d'avance, 3'450 fr. du 9 mars au 31 août 2020, 3'950 fr. du 1er septembre au 31 décembre 2020 et 4'100 fr. dès le 1er janvier 2021.</w:t>
      </w:r>
    </w:p>
    <w:p>
      <w:r>
        <w:rPr>
          <w:b/>
        </w:rPr>
        <w:t>E. 4</w:t>
      </w:r>
    </w:p>
    <w:p>
      <w:r>
        <w:t>septembre 2013 consid. 3.2.1 et 5A_860/2011 du 11 juin 2012 consid. 2.1). L'enfant majeur assume une part des coûts du logement s'il en a effectivement la capacité économique (arrêt du Tribunal fédéral 5A_432/2011 du 20 septembre 2011 consid. 3.2). En cas de communauté domestique avec un enfant majeur qui exerce une activité lucrative, il peut être équitable, selon les circonstances, de partager à parts égales les frais de logement. En revanche, pour ce qui concerne la base mensuelle OP, la communauté de vie formée par un parent et son enfant majeur ne peut pas être comparée à une communauté domestique durable analogue au mariage ou au partenariat enregistré (cf. sur ces questions ATF 144 III 502 consid. 6.6; 132 III 483 consid. 4.2, 4.3 et 5 in JdT 2007 II 78, pp. 79 à 81). La jurisprudence du Tribunal fédéral a établi qu'en cas de ressources insuffisantes, l'obligation d'entretien envers l'ex-conjoint(e) prévaut sur celle envers l'enfant majeur(e). Les frais d'entretien de l'enfant adulte ne devraient donc pas être inclus dans le minimum vital (élargi) de la partie débitrice d'aliments (arrêt du Tribunal fédéral 5A_457/2018 du 11 février 2020 consid. 4.2.1). Cela étant, lorsque la situation financière le permet, l'assistance versée à des tiers, y compris aux enfants majeurs, sur la base d'un jugement, d'une obligation juridique ou d'une simple obligation morale, est prise en compte dans les charges si le versement régulier est établi par pièces et s'il ne dépasse pas une mesure raisonnable eu égard aux revenus du débiteur (BASTONS BULLETTI, L'entretien après divorce : méthodes de calcul, montant, durée et limites, SJ 2007 II p. 77, p. 91).</w:t>
      </w:r>
    </w:p>
    <w:p>
      <w:r>
        <w:rPr>
          <w:b/>
        </w:rPr>
        <w:t>E. 4.1</w:t>
      </w:r>
    </w:p>
    <w:p>
      <w:r>
        <w:t>Si l'instance d'appel statue à nouveau, elle se prononce sur les frais de la première instance (art. 318 al. 3 CPC).</w:t>
      </w:r>
    </w:p>
    <w:p>
      <w:r>
        <w:t>- 16/18 -</w:t>
      </w:r>
    </w:p>
    <w:p>
      <w:r>
        <w:t>C/4825/2020 Les frais judiciaires sont mis à la charge de la partie succombante (art. 95 et 106 1ère phrase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Il peut en particulier tenir compte de l'inégalité économique des époux (TAPPY, Commentaire romand, Code de procédure civile, 2019, n. 19 ad art. 107 CPC). Dès lors que ni la quotité ni la répartition des frais et des dépens de première instance n'ont été valablement remises en cause en appel – l'appelant n'ayant pas motivé sa conclusion à ce propos – et que ceux-ci ont été arrêtés conformément aux règles légales (art. 95, 96, 104 al. 1, 107 al. 1 let. c CPC; art. 5 et 31 du Règlement fixant le tarif des frais en matière civile (RTFMC), RSGE E 1 05.10), le jugement entrepris sera confirmé sur ce point.</w:t>
      </w:r>
    </w:p>
    <w:p>
      <w:r>
        <w:rPr>
          <w:b/>
        </w:rPr>
        <w:t>E. 4.2</w:t>
      </w:r>
    </w:p>
    <w:p>
      <w:r>
        <w:t>Les frais judiciaires d'appel seront fixés à 1'000 fr. (art. 5, 31 et 35 RTFMC). Pour des motifs d'équité liés à la nature et à l'issue du litige, ils seront répartis à parts égales entre les parties, étant précisé qu'aucune d'entre elles n'a obtenu entièrement gain de cause (art. 95, 104 al. 1, 105, 106 al. 1 et 107 al. 1 let. c CPC). Ces frais seront compensés avec l'avance de frais de même montant fournie par l'appelant, qui reste acquise à l'Etat de Genève (art. 111 al. 1 CPC). L'intimée sera par conséquent condamnée à verser à l'appelant la somme de 500 fr. au titre de remboursement des frais judiciaires d'appel. Pour les mêmes motifs, chaque partie supportera ses propres dépens d'appel (art. 107 al. 1 let. c. CPC). * * * * *</w:t>
      </w:r>
    </w:p>
    <w:p>
      <w:r>
        <w:t>- 17/18 -</w:t>
      </w:r>
    </w:p>
    <w:p>
      <w:r>
        <w:t>C/4825/2020 PAR CES MOTIFS, La Chambre civile : A la forme : Déclare recevable l'appel interjeté le 5 octobre 2020 par A______ contre les chiffres 5 et 9 à 14 du dispositif du jugement JTPI/11277/2020 rendu le 18 septembre 2020 par le Tribunal de première instance dans la cause C/4825/2020-10. Au fond : Annule le chiffre 5 du dispositif du jugement entrepris et, statuant à nouveau sur ce point : Condamne A______ à verser à B______, par mois et d'avance, à titre de contribution d'entretien en faveur de celle-ci, 3'450 fr. du 9 mars 2020 au 31 août 2020, 3'950 fr. du 1er septembre 2020 au 31 décembre 2020 et 4'100 fr. dès le 1er janvier 2021. Confirme le jugement entrepris pour le surplus. Déboute les parties de toutes autres conclusions. Sur les frais d'appel : Arrête les frais judiciaires d'appel à 1'000 fr., les met à charge des parties par moitié chacune et les compense avec l'avance de frais du même montant fournie par A______, qui reste acquise à l'Etat de Genève. Condamne en conséquence B______ à verser 500 fr. à A______ à titre de remboursement des frais judiciaires d'appel. Dit que chaque partie supporte ses propres dépens d'appel. Siégeant : Monsieur Ivo BUETTI, président; Madame Sylvie DROIN; Monsieur Jean REYMOND, juges; Madame Camille LESTEVEN, greffière.</w:t>
      </w:r>
    </w:p>
    <w:p>
      <w:r>
        <w:t>Le président : Ivo BUETTI</w:t>
      </w:r>
    </w:p>
    <w:p>
      <w:r>
        <w:t>La greffière : Camille LESTEVEN</w:t>
      </w:r>
    </w:p>
    <w:p>
      <w:r>
        <w:t>- 18/18 -</w:t>
      </w:r>
    </w:p>
    <w:p>
      <w:r>
        <w:t>C/4825/2020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