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ACJC/1455/2018 vom 8. November 2018</w:t>
      </w:r>
    </w:p>
    <w:p>
      <w:r>
        <w:t>GE Cour de justice, 2018-11-08, FR</w:t>
      </w:r>
    </w:p>
    <w:p>
      <w:r>
        <w:rPr>
          <w:b/>
        </w:rPr>
        <w:t xml:space="preserve">Quelle: </w:t>
      </w:r>
      <w:r>
        <w:t>https://mcp.opencaselaw.ch/entscheid/ge_gerichte_ACJC_1455_2018</w:t>
      </w:r>
    </w:p>
    <w:p>
      <w:r>
        <w:t>FR: GE_GERICHTE ACJC/1455/2018 du 8 novembre 2018</w:t>
      </w:r>
    </w:p>
    <w:p>
      <w:r>
        <w:t>IT: GE_GERICHTE ACJC/1455/2018 del 8 novembre 2018</w:t>
      </w:r>
    </w:p>
    <w:p>
      <w:pPr>
        <w:pStyle w:val="Heading2"/>
      </w:pPr>
      <w:r>
        <w:t>Erwägungen</w:t>
      </w:r>
    </w:p>
    <w:p>
      <w:r>
        <w:rPr>
          <w:b/>
        </w:rPr>
        <w:t>E. 1.1</w:t>
      </w:r>
    </w:p>
    <w:p>
      <w:r>
        <w:t>Interjeté dans le délai utile de dix jours (art. 271 let. a, 276 et 314 al. 1 CPC), suivant la forme prescrite par la loi (art. 130, 131, 311 al. 1 CPC), à l'encontre d'une décision rendue sur mesures provisionnelles au sens de l'art. 308 al. 1 let. b CPC et portant sur des conclusions pécuniaires dont le montant capitalisé est supérieur à 10'000 fr. (art. 92 al. 2 et 308 al. 2 CPC), l'appel est recevable.</w:t>
      </w:r>
    </w:p>
    <w:p>
      <w:r>
        <w:rPr>
          <w:b/>
        </w:rPr>
        <w:t>E. 1.2</w:t>
      </w:r>
    </w:p>
    <w:p>
      <w:r>
        <w:t>La Cour dispose d'un pouvoir d'examen complet (art. 310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w:t>
      </w:r>
    </w:p>
    <w:p>
      <w:r>
        <w:t>La cognition de la Cour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w:t>
      </w:r>
    </w:p>
    <w:p>
      <w:r>
        <w:t>La maxime de disposition est applicable s'agissant de la contribution d'entretien due à l'épouse (ATF 129 III 417 consid. 2.1.2; arrêt du Tribunal fédéral 5A_757/2013 du 14 juillet 2014 consid. 2.1).</w:t>
      </w:r>
    </w:p>
    <w:p>
      <w:r>
        <w:rPr>
          <w:b/>
        </w:rPr>
        <w:t>E. 2</w:t>
      </w:r>
    </w:p>
    <w:p>
      <w:r>
        <w:t>L'appelant reproche au Tribunal d'avoir mal apprécié les ressources de son épouse.</w:t>
      </w:r>
    </w:p>
    <w:p>
      <w:r>
        <w:rPr>
          <w:b/>
        </w:rPr>
        <w:t>E. 2.1</w:t>
      </w:r>
    </w:p>
    <w:p>
      <w:r>
        <w:t>Saisi d'une requête commune ou d'une demande unilatérale tendant au divorce (art. 274 CPC), le Tribunal ordonne les mesures provisionnelles nécessaires, en appliquant par analogie les dispositions régissant la protection de l'union conjugale (art. 276 al. 1 CPC).</w:t>
      </w:r>
    </w:p>
    <w:p>
      <w:r>
        <w:rPr>
          <w:b/>
        </w:rPr>
        <w:t>E. 2.2</w:t>
      </w:r>
    </w:p>
    <w:p>
      <w:r>
        <w:t>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w:t>
      </w:r>
    </w:p>
    <w:p>
      <w:r>
        <w:t>- 6/9 -</w:t>
      </w:r>
    </w:p>
    <w:p>
      <w:r>
        <w:t>C/5798/2017 que les époux ont conclue au sujet de la répartition des tâches et des ressources entre eux, l'art. 163 CC demeurant la cause de l'obligation d'entretien réciproque des époux (ATF 138 III 97 consid. 2.2; 137 III 385 consid. 3.1).</w:t>
      </w:r>
    </w:p>
    <w:p>
      <w:r>
        <w:t>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du 19 janvier 2017 consid. 7.2.2).</w:t>
      </w:r>
    </w:p>
    <w:p>
      <w:r>
        <w:t>L'une des méthodes de calcul en cas de situations financières modestes ou moyennes et tant que dure le mariage est celle dite du minimum vital, avec répartition de l'excédent (arrêts du Tribunal fédéral 5A_860/2013 du 29 janvier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w:t>
      </w:r>
    </w:p>
    <w:p>
      <w:r>
        <w:rPr>
          <w:b/>
        </w:rPr>
        <w:t>E. 2.3</w:t>
      </w:r>
    </w:p>
    <w:p>
      <w:r>
        <w:t>Dans le présent cas, il ressort des nombreux certificats médicaux produits par l'intimée qu'elle est en incapacité de travail depuis le 10 novembre 2016. Comme l'a retenu à bon droit le Tribunal, elle a cependant continué à exercer diverses activités lucratives après cette date, en particulier en effectuant des ménages et en prodiguant des massages thaïlandais. Il résulte en effet de ses déclarations qu'elle effectuait depuis deux ans, soit depuis 2015 à tout le moins, des ménages chez un particulier, lequel lui avait d'ailleurs réglé le prix d'un billet d'avion pour la Thaïlande. Certes, l'intimée a mis un terme à ce contrat de travail à la fin du mois</w:t>
      </w:r>
    </w:p>
    <w:p>
      <w:r>
        <w:t>- 7/9 -</w:t>
      </w:r>
    </w:p>
    <w:p>
      <w:r>
        <w:t>C/5798/2017 de janvier 2018. Toutefois, sa lettre de démission ne fait pas état de problèmes de santé. A bon droit également, le premier juge a retenu que l'intimée n'avait pas allégué que son état de santé se serait péjoré depuis le mois de mai 2017, date à laquelle elle a confirmé qu'elle effectuait des massages, de sorte qu'en dépit des certificats d'incapacité de travail produits à la procédure, la Cour retient qu'elle exerçait et exerce encore des activités rémunérées. Cela est d'ailleurs corroboré par le "livre de comptes 2016 et 2017" établi par l'intimée elle-même, faisant état de diverses activités qu'elle a effectuées (nettoyages, "aide sœur" et massages) jusqu'en octobre 2017. L'intimée a d'ailleurs admis, lors l'audience de comparution du 23 mai 2017, qu'elle pratiquait quelques heures de massage, qu'elle évaluait entre 500 fr. et 600 fr. par mois en sus de ses heures de ménage, revenus qui étaient nets d'impôt. Cela ressort du reste également des pièces produites par l'intimée. Sur la base de ces éléments, le Tribunal a, à bon droit, retenu que l'intimée était en mesure de percevoir un salaire mensuel net de 700 fr., soit 500 fr. concernant les massages et 200 fr. pour les ménages. L'appelant reproche au Tribunal de ne pas avoir intégré dans les revenus de l'intimée les salaires issus de son activité d'aide cuisinière. Sur ce point, il convient de lui donner raison. L'intimée a en effet admis aider sa sœur dans son restaurant thaïlandais, pour lequel elle percevait parfois un salaire. Cela résulte d'ailleurs également des pièces produites par l'intimée à hauteur de 3'000 fr. pour les dix premiers mois de l'année 2017. Des revenus de 300 fr. par mois seront ainsi retenus à ce titre. L'intimée a pour le surplus déclaré avoir emprunté 20'000 fr. "en lien avec [son] salon de massage". Elle n'a toutefois pas versé à la procédure de pièces relatives à ce salon de massage ni fourni d'indication quant aux ressources qu'elle perçoit de l'exploitation dudit salon. Le fait que l'intimée dise exploiter un salon de massage rend vraisemblable qu'elle perçoit également des revenus à ce titre. Compte tenu des déclarations contradictoires et variables de l'intimée concernant tant la fréquence que le taux de ses diverses activités, et de l'absence de production de l'intégralité des pièces permettant d'appréhender sa situation financière réelle, la Cour retient que l'intimée perçoit à tout le moins un revenu mensuel net de 1'500 fr., issus des ménages, des massages et des travaux de serveuse/aide qu'elle effectue dans des établissements publics. Ses charges, non contestées en appel, sont de 1'270 fr., de sorte qu'elle dispose d'un solde de 230 fr. par mois.</w:t>
      </w:r>
    </w:p>
    <w:p>
      <w:r>
        <w:t>- 8/9 -</w:t>
      </w:r>
    </w:p>
    <w:p>
      <w:r>
        <w:t>C/5798/2017 Les revenus et les charges de l'appelant ne sont pas non plus remis en cause en appel, soit respectivement 4'919 fr. 70 et 3'723 fr. 40. Son disponible mensuel s'élève ainsi à 1'196 fr. arrondis. Il y a dès lors lieu de partager l'excédent entre les époux, de sorte que l'appelant sera condamné à verser 480 fr. par mois à titre de contribution à l'entretien de son épouse [(1'196 fr. + 230 fr. ]/ 2 = 713 fr. - 230 fr. = 483 fr. arrondis à 480 fr.). L'appel se révèle ainsi partiellement fondé. Le dies a quo de la contribution d'entretien n'étant pas remis en cause, il sera confirmé.</w:t>
      </w:r>
    </w:p>
    <w:p>
      <w:r>
        <w:rPr>
          <w:b/>
        </w:rPr>
        <w:t>E. 2.4</w:t>
      </w:r>
    </w:p>
    <w:p>
      <w:r>
        <w:t>Le chiffre 1 du dispositif de l'ordonnance entreprise sera annulé et modifié dans le sens qui précède. 3. 3.1 Les frais judiciaires d'appel seront fixés à 1'000 fr. (art. 31 et 37 RTFMC) et mis à la charge des parties pour moitié chacune, compte tenu de la nature familiale du litige (art. 95 et 107 al. 1 let c CPC). Ils seront compensés avec l'avance de frais du même montant fourni par l'appelant, acquise à l'Etat de Genève (art. 111 al. 1 CPC). L'intimée sera en conséquence condamnée à verser 500 fr. à ce titre à l'appelant.</w:t>
      </w:r>
    </w:p>
    <w:p>
      <w:r>
        <w:t>3.2 Compte tenu de la nature familiale du litige, chaque partie supportera ses propres dépens d'appel (art. 107 al. 1 let. c CPC). 4. L'arrêt de la Cour, statuant sur mesures provisionnelles dans la procédure en divorce, est susceptible d'un recours en matière civile, les moyens étant limités en application de l'art. 98 LTF (ATF 133 III 393 consid. 5.1). * * * * *</w:t>
      </w:r>
    </w:p>
    <w:p>
      <w:r>
        <w:t>- 9/9 -</w:t>
      </w:r>
    </w:p>
    <w:p>
      <w:r>
        <w:t>C/5798/2017 PAR CES MOTIFS, La Chambre civile : A la forme : Déclare recevable l'appel interjeté le 7 juin 2016 par A______ contre le chiffre 1 du dispositif de l'ordonnance OTPI/321/2018 rendue le 24 mai 2018 par le Tribunal de première instance dans la cause C/5798/2017-13. Au fond : Annule ledit chiffre 1. Cela fait et statuant à nouveau sur ce point : Condamne A______ à verser, par mois et d'avance, à B______ 480 fr. à titre de contribution à son entretien, dès le 1er janvier 2018. Déboute les parties de toutes autres conclusions. Sur les frais : Arrête les frais judiciaires d'appel à 1'000 fr., entièrement compensés avec l'avance de frais du même montant, acquise à l'Etat de Genève, soit pour lui les Services financiers du Pouvoir judiciaire. Les met à la charge des parties pour moitié chacune. Condamne B______ à verser 500 fr. à A______ à ce titre. Dit que chacune des parties supporte ses propres dépens.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6</w:t>
      </w:r>
    </w:p>
    <w:p>
      <w:r>
        <w:t>décembre 2016 consid. 4.1).</w:t>
      </w:r>
    </w:p>
    <w:p>
      <w:r>
        <w:t>Quelle que soit la méthode appliquée, le train de vie mené jusqu'à la cessation de la vie commune constitue la limite supérieure du droit à l'entretien (arrêt du Tribunal fédéral 5A_445/2014 du 28 août 2014 consid. 4.1, publié in FamPra.ch 2015 p. 217). Le minimum vital du débirentier doit dans tous les cas être préservé (ATF 135 III 66, JdT 2010 I 167; 127 III 68 consid. 2, SJ 2001 I 280; arrêt du Tribunal fédéral 5A_662/2013 du 24 juin 2014 consid.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