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ACJC/1452/2019 vom 10. Oktober 2019</w:t>
      </w:r>
    </w:p>
    <w:p>
      <w:r>
        <w:t>GE Cour de justice, 2019-10-10, FR</w:t>
      </w:r>
    </w:p>
    <w:p>
      <w:r>
        <w:rPr>
          <w:b/>
        </w:rPr>
        <w:t xml:space="preserve">Quelle: </w:t>
      </w:r>
      <w:r>
        <w:t>https://mcp.opencaselaw.ch/entscheid/ge_gerichte_ACJC_1452_2019</w:t>
      </w:r>
    </w:p>
    <w:p>
      <w:r>
        <w:t>FR: GE_GERICHTE ACJC/1452/2019 du 10 octobre 2019</w:t>
      </w:r>
    </w:p>
    <w:p>
      <w:r>
        <w:t>IT: GE_GERICHTE ACJC/1452/2019 del 10 ottobre 2019</w:t>
      </w:r>
    </w:p>
    <w:p>
      <w:pPr>
        <w:pStyle w:val="Heading2"/>
      </w:pPr>
      <w:r>
        <w:t>Erwägungen</w:t>
      </w:r>
    </w:p>
    <w:p>
      <w:r>
        <w:rPr>
          <w:b/>
        </w:rPr>
        <w:t>E. 1.1</w:t>
      </w:r>
    </w:p>
    <w:p>
      <w:r>
        <w:t>La requête de sûretés a été déposée selon la forme prescrite, de sorte qu'elle est recevable.</w:t>
      </w:r>
    </w:p>
    <w:p>
      <w:r>
        <w:rPr>
          <w:b/>
        </w:rPr>
        <w:t>E. 1.2</w:t>
      </w:r>
    </w:p>
    <w:p>
      <w:r>
        <w:t>La requête de sûretés est soumise à la procédure sommaire (ACJC/244/2018 du 26 février 2018 consid. 1.2; ACJC/794/2017 du 16 juin 2017; ACJC/818/2015 du 8 juillet 2015 consid.2.5.1; RÜEGG/RÜEGG, Basler Kommentar ZPO, 3ème éd. 2017, n. 4 ad art. 100 CPC). Le juge se fondera essentiellement sur les allégations et preuves des parties (ACJC/938/2015 du 20 août 2015 consid. 2.1).</w:t>
      </w:r>
    </w:p>
    <w:p>
      <w:r>
        <w:rPr>
          <w:b/>
        </w:rPr>
        <w:t>E. 1.3</w:t>
      </w:r>
    </w:p>
    <w:p>
      <w:r>
        <w:t>La requête en fourniture de sûretés déposée à la suite des appels formés par C______ CO., d'une part, et B______ LTD et A______ LTD, d'autre part, seront traitées ensemble, dans le présent arrêt.</w:t>
      </w:r>
    </w:p>
    <w:p>
      <w:r>
        <w:rPr>
          <w:b/>
        </w:rPr>
        <w:t>E. 2.1</w:t>
      </w:r>
    </w:p>
    <w:p>
      <w:r>
        <w:t>En matière internationale, l'art. 11b LDIP prévoit que l'avance de frais et les sûretés en garantie des dépens sont régies par le code de procédure civile du 19 décembre 2008 (CPC). Le demandeur – ou le recourant en deuxième instance (cf. arrêt du Tribunal fédéral 4A_26/2013 du 5 septembre 2013 consid. 2.2) – qui n'a pas de domicile ou de siège en Suisse doit, sur requête du défendeur, fournir des sûretés en garantie du paiement des dépens (art. 99 al. 1 let. a CPC), sous réserve des cas prévus (art. 99 al. 3 CPC), soit en cas de procédure simplifiée (art. 243 ss CPC à l'exception de l'art. 243 al. 1 CPC), de procédure de divorce et de procédure sommaire (art. 248 ss CPC), non pertinents en l'espèce. L'absence de domicile ou de siège en Suisse de la partie demanderesse fait apparaître de manière irréfutable un risque considérable de ne pouvoir recouvrer</w:t>
      </w:r>
    </w:p>
    <w:p>
      <w:r>
        <w:t>- 4/6 -</w:t>
      </w:r>
    </w:p>
    <w:p>
      <w:r>
        <w:t>C/18039/2015 les dépens pour la partie défenderesse, qui dispose ainsi en principe d'une prétention à des sûretés (ATF 141 III 155 consid. 4.3). La Convention de La Haye du 1er mars 1954 relative à la procédure civile (RS 0.274.12; cf. art. 17 à 19), ou celle du 25 octobre 1980 tendant à faciliter l'accès international à la justice (RS 0.274.133; cf. art. 14), qui dispensent les plaideurs de fournir des sûretés, n'ont pas été ratifiées par les Iles Vierges Britanniques, respectivement par Hong Kong et les Iles Marshall, qui ne sont par ailleurs pas liées à la Suisse par un traité bilatéral sur cette question.</w:t>
      </w:r>
    </w:p>
    <w:p>
      <w:r>
        <w:rPr>
          <w:b/>
        </w:rPr>
        <w:t>E. 2.2</w:t>
      </w:r>
    </w:p>
    <w:p>
      <w:r>
        <w:t>En l'espèce, compte tenu du siège à l'étranger des citées, il sera fait droit à la requête de sûretés de la requérante à leur égard.</w:t>
      </w:r>
    </w:p>
    <w:p>
      <w:r>
        <w:rPr>
          <w:b/>
        </w:rPr>
        <w:t>E. 3</w:t>
      </w:r>
    </w:p>
    <w:p>
      <w:r>
        <w:t>La requérante n'a pas chiffré le montant requis à titre de sûretés, mais elle a estimé que le montant total des sûretés pour les trois procédures de recours dans les causes C/18039/2015, C/1______/2017 et C/2______/2017 devrait s'élever à tout le moins à 15'000 fr.</w:t>
      </w:r>
    </w:p>
    <w:p>
      <w:r>
        <w:rPr>
          <w:b/>
        </w:rPr>
        <w:t>E. 3.1</w:t>
      </w:r>
    </w:p>
    <w:p>
      <w:r>
        <w:t>Selon l'art. 84 RTFMC, le défraiement d'un représentant professionnel est, en règle générale, proportionnel à la valeur litigieuse; sans effet sur les rapports contractuels entre l'avocat et son client, il est fixé d'après l'importance de la cause, ses difficultés, l'ampleur du travail et le temps employé. L'art. 85 RTFMC prévoit quant à lui que pour les affaires pécuniaires, le défraiement prend pour base le tarif prévu; sans préjudice de l'article 23 LaCC, il peut s'en écarter de plus ou moins 10% pour tenir compte des éléments rappelés à l'article 84 RTFMC. Selon ledit tarif, pour une valeur litigieuse au-delà de quatre millions de francs et jusqu'à dix millions de francs, le défraiement s'élève à 61'400 fr., plus 0,75% de la valeur litigieuse dépassant quatre millions de francs. Pour les procédures ne conduisant pas au prononcé d'un jugement à caractère final, le défraiement est, dans la règle, réduit à deux tiers et au plus à un cinquième du tarif de l'article 85 RTFMC (art. 87 RTFMC). L'art. 90 RTFMC prévoit quant à lui que le défraiement est réduit dans la règle d'un à deux tiers par rapport au tarif de l'article 85 RTFMC dans les procédures d'appel et de recours. Des montants de 3% à titre de débours (art. 25 LaCC) et de 7,7% à titre de TVA (art. 26 al. 1 LaCC) doivent être ajoutés.</w:t>
      </w:r>
    </w:p>
    <w:p>
      <w:r>
        <w:rPr>
          <w:b/>
        </w:rPr>
        <w:t>E. 3.2</w:t>
      </w:r>
    </w:p>
    <w:p>
      <w:r>
        <w:t>En l'espèce, les citées ont chiffré la valeur litigieuse à 8'821'400 fr., sans que la requérante ne le conteste, laquelle est susceptible de permettre l'allocation d'un montant de 97'560 fr. à titre de dépens selon l'art. 85 RTFMC.</w:t>
      </w:r>
    </w:p>
    <w:p>
      <w:r>
        <w:t>- 5/6 -</w:t>
      </w:r>
    </w:p>
    <w:p>
      <w:r>
        <w:t>C/18039/2015 Il convient cependant de tenir compte des réductions prévues par les art. 87 et 90 RTFMC. Le montant des dépens peut ainsi être fixé, compte tenu de ces dispositions, entre 7'215 fr. et 48'099 fr. selon les réductions appliquées, débours et TVA compris. La procédure de recours ne porte certes pas sur le fond de la cause mais elle présente néanmoins une certaine complexité. L'ordonnance attaquée a en outre fait l'objet de deux recours auxquels l'intimée devra répondre. Il convient cependant également de tenir compte que, pour l'essentiel, seule une question principale se pose et que des sûretés ont également été requises dans les procédures de recours dans les causes C/1______/2017 et C/2______/2017, lesquelles posent des questions similaires. Au vu de l'ensemble des circonstances, le montant des sûretés sera fixé à 7'500 fr., mis à la charge des citées solidairement, comme sollicité par la requérante et sans que les citées ne le contestent. Compte tenu de leur domicile à l'étranger, l'octroi d'un délai de trente jours pour réunir et communiquer les sûretés fixées dans la présente décision, lequel ne retardera pas de manière indue la procédure, paraît adéquat. Si les sûretés ne devaient pas être versées à l'échéance d'un délai supplémentaire, la Cour n'entrera pas en matière sur le recours (art. 101 al. 1 et 3 CPC).</w:t>
      </w:r>
    </w:p>
    <w:p>
      <w:r>
        <w:rPr>
          <w:b/>
        </w:rPr>
        <w:t>E. 4</w:t>
      </w:r>
    </w:p>
    <w:p>
      <w:r>
        <w:t>Il sera statué sur les frais et dépens de l'incident avec la décision au fond (art. 104 al. 3 CPC). * * * * *</w:t>
      </w:r>
    </w:p>
    <w:p>
      <w:r>
        <w:t>- 6/6 -</w:t>
      </w:r>
    </w:p>
    <w:p>
      <w:r>
        <w:t>C/18039/2015 PAR CES MOTIFS, La Chambre civile : Statuant sur requête en constitution de sûretés : Déclare recevable la requête en constitution de sûretés formée le 20 mai 2019 par D______ SA à l'encontre de B______ LTD, A______ LTD et C______ CO. Impartit à B______ LTD, A______ LTD et C______ CO., conjointement et solidairement, un délai de 30 jours dès notification du présent arrêt pour fournir aux Services financiers du Pouvoir judiciaire des sûretés de 7'500 fr., en espèce ou sous forme de garantie d'une banque établie en Suisse ou d'une société d'assurance autorisée à exercer en Suisse. Déboute les parties de toutes autres conclusions. Dit qu'il sera statué sur les frais et dépens de l'incident avec la décision sur le fond. Siégeant : Monsieur Laurent RIEBEN, président; Monsieur Cédric-Laurent MICHEL, Madame Ursula ZEHETBAUER GHAVAMI, juges; Madame Camille LESTEVEN, greffière.</w:t>
      </w:r>
    </w:p>
    <w:p>
      <w:r>
        <w:t>Le président : Laurent RIEBEN</w:t>
      </w:r>
    </w:p>
    <w:p>
      <w:r>
        <w:t>La greffière : Camille LESTEVEN</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