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ACJC/1452/2017 vom 14. November 2017</w:t>
      </w:r>
    </w:p>
    <w:p>
      <w:r>
        <w:t>GE Cour de justice, 2017-11-14, FR</w:t>
      </w:r>
    </w:p>
    <w:p>
      <w:r>
        <w:rPr>
          <w:b/>
        </w:rPr>
        <w:t xml:space="preserve">Quelle: </w:t>
      </w:r>
      <w:r>
        <w:t>https://mcp.opencaselaw.ch/entscheid/ge_gerichte_ACJC_1452_2017</w:t>
      </w:r>
    </w:p>
    <w:p>
      <w:r>
        <w:t>FR: GE_GERICHTE ACJC/1452/2017 du 14 novembre 2017</w:t>
      </w:r>
    </w:p>
    <w:p>
      <w:r>
        <w:t>IT: GE_GERICHTE ACJC/1452/2017 del 14 novembre 2017</w:t>
      </w:r>
    </w:p>
    <w:p>
      <w:pPr>
        <w:pStyle w:val="Heading2"/>
      </w:pPr>
      <w:r>
        <w:t>Erwägungen</w:t>
      </w:r>
    </w:p>
    <w:p>
      <w:r>
        <w:rPr>
          <w:b/>
        </w:rPr>
        <w:t>E. 1.1</w:t>
      </w:r>
    </w:p>
    <w:p>
      <w:r>
        <w:t>S'agissant d'une procédure de mainlevée, seule la voie du recours est ouverte (art. 319 let. b et 309 let. b ch. 3 CPC). La procédure sommaire s'applique (art. 251 let. a CPC).</w:t>
      </w:r>
    </w:p>
    <w:p>
      <w:r>
        <w:t>Aux termes de l'art. 321 al. 1 et 2 CPC, le recours, écrit et motivé, doit être introduit auprès de l'instance de recours dans les dix jours à compter de la notification de la décision motivée, pour les décisions prises en procédure sommaire.</w:t>
      </w:r>
    </w:p>
    <w:p>
      <w:r>
        <w:t>Interjeté dans le délai légal et selon la forme prescrite, le recours est recevable en l'espèce.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 Les maximes des débats et de disposition s'appliquent (art. 55 al. 1, 255 lit. a a contrario et 58 al. 1 CPC).</w:t>
      </w:r>
    </w:p>
    <w:p>
      <w:r>
        <w:rPr>
          <w:b/>
        </w:rPr>
        <w:t>E. 2</w:t>
      </w:r>
    </w:p>
    <w:p>
      <w:r>
        <w:t>La recourante fait grief au premier juge d'avoir considéré que le bordereau de taxation à l'origine de la créance en poursuite avait été notifié et qu'il valait dès lors titre de mainlevée.</w:t>
      </w:r>
    </w:p>
    <w:p>
      <w:r>
        <w:rPr>
          <w:b/>
        </w:rPr>
        <w:t>E. 2.1</w:t>
      </w:r>
    </w:p>
    <w:p>
      <w:r>
        <w:t>Aux termes de l'art. 80 al. 1 LP, le créancier qui est au bénéfice d'un jugement exécutoire peut requérir du juge la mainlevée définitive de l'opposition.</w:t>
      </w:r>
    </w:p>
    <w:p>
      <w:r>
        <w:rPr>
          <w:b/>
        </w:rPr>
        <w:t>E. 2.1.1</w:t>
      </w:r>
    </w:p>
    <w:p>
      <w:r>
        <w:t>Sont assimilées à des jugements les décisions des autorités administratives suisses (art. 80 al. 2 ch. 2 LP), soit une autorité de la Confédération ou une autorité cantonale. Selon l'art. 36 al. 4 de la loi relative à la perception et aux garanties des impôts des personnes physiques et des personnes morales (LPGIP – D 3 18) (exécution forcée), dans la procédure de poursuite, les décisions et prononcés des autorités fiscales, qui sont entrés en force, sont assimilés à des jugements exécutoires au sens de l'article 80 LP. Est exécutoire au sens de l'art. 80 LP le prononcé qui a non seulement force exécutoire, mais également force de chose jugée (formelle Rechtskraft; ATF 113 III 6 consid. 1b, p. 9; 105 III 43 consid. 2a, in JdT 1980 p. 117), c'est-à-dire qui est devenu définitif, parce qu'il ne peut plus être attaqué par voie de recours ordinaire qui, de par la loi, a un effet suspensif (arrêt du Tribunal fédéral</w:t>
      </w:r>
    </w:p>
    <w:p>
      <w:r>
        <w:t>- 5/7 -</w:t>
      </w:r>
    </w:p>
    <w:p>
      <w:r>
        <w:t>C/26519/2016 5P.405/2004 du 22 février 2005 consid. 3; STAEHELIN, in Kommentar zum Bundesgesetz über Schuldbetreibung und Konkurs, 2010, n° 7 ad art. 80 LP). La force de chose jugée doit résulter du titre ou d'un document qui s'y réfère. Le jugement ne remplit pas cette condition s'il a été rendu avec effet suspensif, s'il est conditionnel, si la dette n'est pas exigible, s'il n'a pas été régulièrement notifié (SCHMIDT, Commentaire romand LP, Bâle, 2005, n° 3 ad art. 80 LP et jurisprudence citée).</w:t>
      </w:r>
    </w:p>
    <w:p>
      <w:r>
        <w:rPr>
          <w:b/>
        </w:rPr>
        <w:t>E. 2.1.2</w:t>
      </w:r>
    </w:p>
    <w:p>
      <w:r>
        <w:t>Il appartient à l'administration de prouver que la notification a eu lieu (ATF 105 III 43 précité, consid. 2a). En l'absence d'envoi recommandé, la preuve de la notification d'un acte peut résulter de l'ensemble des circonstances, en particulier de la correspondance échangée ou de l'absence de protestation de la part d'une personne qui reçoit des rappels (ATF 105 III 43 précité consid. 3; arrêt du Tribunal fédéral 5D_173/2008 du 20 février 2009 consid. 5.1).</w:t>
      </w:r>
    </w:p>
    <w:p>
      <w:r>
        <w:rPr>
          <w:b/>
        </w:rPr>
        <w:t>E. 2.2</w:t>
      </w:r>
    </w:p>
    <w:p>
      <w:r>
        <w:t>En l'espèce, le bordereau de taxation du 19 février 2014, à l'origine de la créance en poursuite, a été notifié à la recourante par pli simple. A réception de la sommation du 18 avril 2016 adressée par lettre recommandée et mentionnant expressément le bordereau du 19 février 2014, ainsi que les montants dus à ce titre, la recourante n'a pas réagi. Ce n'est que lors de l'audience du 13 mars 2017 devant le Tribunal qu'elle a fait valoir que le bordereau était irrégulier car elle ne l'avait pas reçu. Or, on peut partir du principe qu'un contribuable qui reçoit un rappel d'impôt va chercher à se défendre et n'attend pas d'être poursuivi. Cela est d'autant plus vrai que la recourante affirme contester tous les bordereaux qui lui sont notifiés. Le fait d'avoir attendu l'audience du 13 mars 2017 pour faire valoir qu'elle n'avait pas reçu le bordereau du 19 février 2014 rend ses affirmations peu crédibles. C'est donc à bon droit que le Tribunal a déduit de l'absence de réaction de la recourante après la réception de la sommation de payer qu'elle avait préalablement reçu le bordereau expédié en février 2014. Dès lors que le bordereau a été valablement notifié, c'est également à juste titre que le Tribunal a considéré que l'intimé était au bénéfice d'un titre exécutoire au sens de l'art. 80 al. 2 LP justifiant le prononcé de la mainlevée définitive. En effet, ce bordereau porte la mention qu'il vaut jugement exécutoire et aucun élément du dossier ne permet de retenir qu'il ne le serait pas. Le grief est infondé. Le recours sera rejeté.</w:t>
      </w:r>
    </w:p>
    <w:p>
      <w:r>
        <w:rPr>
          <w:b/>
        </w:rPr>
        <w:t>E. 3</w:t>
      </w:r>
    </w:p>
    <w:p>
      <w:r>
        <w:t>La recourante, qui succombe, sera condamnée aux frais (art. 106 al. 1 et 3 CPC).</w:t>
      </w:r>
    </w:p>
    <w:p>
      <w:r>
        <w:t>- 6/7 -</w:t>
      </w:r>
    </w:p>
    <w:p>
      <w:r>
        <w:t>C/26519/2016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 non contesté en tant que tel - à 100 fr. Partant, l'émolument de la présente décision sera fixé à 150 fr. et mis à la charge de la recourante, compensé avec l'avance de frais opérée par celle- ci, acquise à l'Etat (art. 111 al. 1 CPC). Il ne sera pas alloué de dépens à l'intimé qui comparaît en personne et qui ne justifie d'aucune démarche particulière (art. 95 al. 3 let. c CPC). * * * * *</w:t>
      </w:r>
    </w:p>
    <w:p>
      <w:r>
        <w:t>- 7/7 -</w:t>
      </w:r>
    </w:p>
    <w:p>
      <w:r>
        <w:t>C/26519/2016 PAR CES MOTIFS, La Chambre civile : A la forme : Déclare recevable le recours formé par A______ le 4 mai 2017 contre le jugement JTPI/5218/2017 rendu le 24 avril 2017 par le Tribunal de première instance dans la cause C/26519/2016-26 SML. Au fond : Rejette ce recours. Déboute les parties de toutes autres conclusions. Sur les frais : Arrête les frais du recours à 150 fr., couverts par l'avance déjà opérée, acquise à l'Etat de Genève. Les met à la charge de A______. Dit qu'il n'est pas alloué de dépens. Siégeant : Madame Pauline ERARD, présidente; Madame Sylvie DROIN et Madame Nathalie LANDRY-BARTHE, juges; Monsieur David VAZQUEZ, commis-greffier.</w:t>
      </w:r>
    </w:p>
    <w:p>
      <w:r>
        <w:t>La présidente : Pauline ERARD</w:t>
      </w:r>
    </w:p>
    <w:p>
      <w:r>
        <w:t>Le commis-greffier : David VAZQUEZ</w:t>
      </w:r>
    </w:p>
    <w:p>
      <w:r>
        <w:t>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La valeur litigieuse, au sens de l'art. 51 LTF, est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