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ACJC/1451/2025 vom 21. Oktober 2025</w:t>
      </w:r>
    </w:p>
    <w:p>
      <w:r>
        <w:t>GE Cour de justice, 2025-10-21, FR</w:t>
      </w:r>
    </w:p>
    <w:p>
      <w:r>
        <w:rPr>
          <w:b/>
        </w:rPr>
        <w:t xml:space="preserve">Quelle: </w:t>
      </w:r>
      <w:r>
        <w:t>https://mcp.opencaselaw.ch/entscheid/ge_gerichte_ACJC_1451_2025</w:t>
      </w:r>
    </w:p>
    <w:p>
      <w:r>
        <w:t>FR: GE_GERICHTE ACJC/1451/2025 du 21 octobre 2025</w:t>
      </w:r>
    </w:p>
    <w:p>
      <w:r>
        <w:t>IT: GE_GERICHTE ACJC/1451/2025 del 21 ottobre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Interjeté dans le délai et suivant la forme prescrits par la loi (art. 130, 131, 142 ainsi que 311 al. 1 CPC) à l'encontre d'une décision finale de première instance, qui statue sur des conclusions pécuniaires dont la valeur litigieuse au dernier état des conclusions est supérieure à 10'000 fr. (art. 91 ss et 308 al. 2 CPC), l'appel est recevable.</w:t>
      </w:r>
    </w:p>
    <w:p>
      <w:r>
        <w:t>Sont par ailleurs recevables les réponses (art. 314 al. 1 CPC) ainsi que les écritures subséquentes et spontanées des parties, déposées conformément au droit inconditionnel de réplique (ATF 146 III 97 consid. 3.4.1).</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t>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p. 137;</w:t>
      </w:r>
    </w:p>
    <w:p>
      <w:r>
        <w:t>- 9/21 -</w:t>
      </w:r>
    </w:p>
    <w:p>
      <w:r>
        <w:t>C/3402/2022 REETZ/THEILER, Kommentar zur Schweizerischen Zivilprozessordnung, 2013, n. 38 ad art. 311 ZPO). Tous les faits considérés comme pertinents pour l'issue du litige n'ont pas à être mentionnés dans l'état de fait d'un arrêt cantonal; ils peuvent aussi figurer dans la partie en droit en fonction des questions juridiques à trancher (arrêt du Tribunal fédéral 5A_122/2025 du 17 juin 2025 consid. 3.4).</w:t>
      </w:r>
    </w:p>
    <w:p>
      <w:r>
        <w:rPr>
          <w:b/>
        </w:rPr>
        <w:t>E. 2.1</w:t>
      </w:r>
    </w:p>
    <w:p>
      <w:r>
        <w:t>Lorsque la mainlevée provisoire a été accordée, le débiteur peut, dans les 20 jours à compter de la mainlevée, intenter au for de la poursuite une action en libération de dette; le procès est instruit en la forme ordinaire (art. 83 al. 2 LP).</w:t>
      </w:r>
    </w:p>
    <w:p>
      <w:r>
        <w:rPr>
          <w:b/>
        </w:rPr>
        <w:t>E. 2.2</w:t>
      </w:r>
    </w:p>
    <w:p>
      <w:r>
        <w:t>En l'occurrence, la recevabilité de l'action en libération de dette déposée par l'intimé n'est pas remise en cause.</w:t>
      </w:r>
    </w:p>
    <w:p>
      <w:r>
        <w:rPr>
          <w:b/>
        </w:rPr>
        <w:t>E. 3</w:t>
      </w:r>
    </w:p>
    <w:p>
      <w:r>
        <w:t>L'appelante fait grief au premier juge d'avoir considéré qu'elle n’était pas titulaire de la créance déduite en poursuite à l'encontre de l'intimé, au motif que la rétrocession de créance intervenue en août 2016 n'avait pas déployé d'effets.</w:t>
      </w:r>
    </w:p>
    <w:p>
      <w:r>
        <w:rPr>
          <w:b/>
        </w:rPr>
        <w:t>E. 3.1.1</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SJ 2005 I 401; 130 III 285 consid. 5.3.1; arrêt du Tribunal fédéral 5A_70/2018 du 23 octobre 2018 consid. 3.3.1.2).</w:t>
      </w:r>
    </w:p>
    <w:p>
      <w:r>
        <w:rPr>
          <w:b/>
        </w:rPr>
        <w:t>E. 3.1.2</w:t>
      </w:r>
    </w:p>
    <w:p>
      <w:r>
        <w:t>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LDIP). Ce n'est que si la société ne remplit pas les conditions précitées qu'elle sera régie par le droit de l'Etat dans lequel elle est administrée en fait (art. 154 al. 2 LDIP). Le droit ainsi désigné est applicable, sous réserve des art. 156 à 161 LDIP (qui ne jouent aucun rôle en l'espèce), notamment à la jouissance et à l'exercice des droits civils (art. 155 let. c LDIP) ainsi qu'au pouvoir</w:t>
      </w:r>
    </w:p>
    <w:p>
      <w:r>
        <w:t>- 10/21 -</w:t>
      </w:r>
    </w:p>
    <w:p>
      <w:r>
        <w:t>C/3402/2022 de représentation des personnes agissant pour la société, conformément à son organisation (art. 155 let. i LDIP; ATF 147 IV 361 consid. 8.1.2 et les références citées).</w:t>
      </w:r>
    </w:p>
    <w:p>
      <w:r>
        <w:t>Le contenu du droit étranger est établi d'office, la collaboration des parties pouvant néanmoins être requise à cet effet. En matière patrimoniale, la preuve peut être mise à la charge des parties (cf. art. 16 al. 1 LDIP; ATF 147 IV 361 consid. 8.1.3). Le droit suisse s'applique si le contenu du droit étranger ne peut pas être établi (art. 16 al. 2 LDIP).</w:t>
      </w:r>
    </w:p>
    <w:p>
      <w:r>
        <w:t>L'art. 16 al. 1 LDIP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1ère phrase LDIP). Il dispose néanmoins de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Néanmoins, même si les parties n'apportent pas la preuve du droit étranger, le juge doit, conformément au principe "jura novit curia",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Commentaire romand - LDIP / CLug, 2011, n. 4 et suivantes, 14 et 23 ad art. 16 LDIP; GIRSBERGER / FURRER, Zürcher Kommentar- IPRG, Band I, 3ème éd. 2018, n. 12 et suivantes, 17 et suivantes et 22 et suivantes ad art. 16 LDIP).</w:t>
      </w:r>
    </w:p>
    <w:p>
      <w:r>
        <w:t>- 11/21 -</w:t>
      </w:r>
    </w:p>
    <w:p>
      <w:r>
        <w:t>C/3402/2022</w:t>
      </w:r>
    </w:p>
    <w:p>
      <w:r>
        <w:rPr>
          <w:b/>
        </w:rPr>
        <w:t>E. 3.2</w:t>
      </w:r>
    </w:p>
    <w:p>
      <w:r>
        <w:t>Dans le cadre de la maxime des débats (art. 55 al. 1 CPC), il incombe aux parties, et non au juge, de rassembler les faits du procès, c'est-à-dire d'alléguer les faits pertinents (fardeau de l'allégation subjectif), d'offrir les moyens de preuve propres à établir ceux-ci (fardeau de l'administration de la preuve) et de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 et les références citées). Par exception, les faits implicites n'ont pas à être allégués explicitement. Un fait implicite est, par définition, un fait qui est contenu, sans aucun doute dans un autre allégué de fait expressément invoqué. Sont, par exemple, des faits implicites : la qualité pour agir, l'exercice des droits civils, l'exactitude d'une date, la non-péremption du droit, l'envoi et la réception d'une facture. Le fardeau de l'allégation objectif et le fardeau de la preuve d'un fait implicite n'incombent à la</w:t>
      </w:r>
    </w:p>
    <w:p>
      <w:r>
        <w:t>- 12/21 -</w:t>
      </w:r>
    </w:p>
    <w:p>
      <w:r>
        <w:t>C/3402/2022 partie demanderesse que lorsque sa partie adverse l'a contesté (arrêt du Tribunal fédéral 4A_243/2018 du 17 décembre 2018 consid. 4.2.1). Les exigences de forme des art. 221 al. 1 let.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La conséquence et la sanction de l'obligation fixée à l'art. 55 al. 1 CPC résident dans le fait que le tribunal ne pourra pas tenir compte dans son jugement des faits qui ne sont pas allégués et prouvés; il faut à tout le moins que ces faits entrent dans le cadre des allégations formulées (ATF 142 III 462 consid. 4, in SJ 2016 I 429).</w:t>
      </w:r>
    </w:p>
    <w:p>
      <w:r>
        <w:rPr>
          <w:b/>
        </w:rPr>
        <w:t>E. 3.3</w:t>
      </w:r>
    </w:p>
    <w:p>
      <w:r>
        <w:t>En l’occurrence, il n'est pas contesté que G______ LTD était régie par le droit des Iles Vierges britanniques et notamment par le BVI Business Companies Act, 2004 (n° 16 of 2004; cf. https://offshorebvi.com/wp-content/uploads/2022/10/ BVI_Business_Companies_Act_2004.pdf). Il est vrai que G______ LTD a été radiée du registre des sociétés des Iles Vierges britanniques en juin 2016. Cela étant, il résulte de la décision querellée que la société a été réinscrite audit registre, avant d’être définitivement dissoute en décembre 2017. L’intimé ne peut être suivi lorsqu’il reproche au premier juge d’avoir retenu cette réinscription sans qu’elle ne repose sur des allégués. En effet, dans son action en libération de dettes, l’intimé a lui-même affirmé que la société avait été réinscrite à une date inconnue (cf. allégué n° 47 p. 12). Puis, dans sa réplique de première instance, il a indiqué, sur la base de la pièce n° 43 qu’il a produite, qu'une désinscription intermédiaire de G______ LTD avait eu lieu en juin 2016 et qu'une radiation définitive de la société avait eu lieu en décembre 2017, en relevant seulement que la date de la réinscription intermédiaire précédant la radiation définitive n’avait pas été alléguée. Ce faisant, l’intimé a reconnu (et reconnaît toujours; cf. p. 8 § 42 de son mémoire de réponse du 19 mars 2025) l’existence d’une réinscription temporaire, de sorte que le premier juge pouvait la retenir, même en l’absence d’un certificat formel de réinscription (cf. art. 217 al. 1 BVI Business Companies Act, 2004). Comme le fait à juste titre valoir l'appelante, il ressort de l’art. 217 al. 6 BVI Business Companies Act, 2004 que lorsqu’une société est réenregistrée dans le registre des sociétés des Iles Vierges britanniques après une radiation, elle est réputée ne jamais avoir été radiée. La réinscription temporaire de G______ LTD a ainsi eu pour effet, en application de la disposition susmentionnée, que la société</w:t>
      </w:r>
    </w:p>
    <w:p>
      <w:r>
        <w:t>- 13/21 -</w:t>
      </w:r>
    </w:p>
    <w:p>
      <w:r>
        <w:t>C/3402/2022 est réputée avoir poursuivi son existence entre sa radiation provisoire courant 2016 et sa dissolution définitive à la fin de l’année 2017 (cf. décision BB.2021.198-199 du 7 février 2023 de la Cour des plaintes du Tribunal pénal fédéral consid. 2.3), étant relevé que la question de la date exacte de la réinscription est dépourvue de pertinence, au vu de l’effet rétroactif prévu par la loi. Il est indéniable que compte tenu de cette fiction légale de continuité, la réinscription précitée a eu pour effet de valider rétrospectivement les actes accomplis par la société pendant la période comprise entre sa radiation et le rétablissement de sa raison sociale dans le registre, sans qu’une ratification par un juge ou le liquidateur ne soit nécessaire (une telle exigence de ratification ne résultant en particulier pas du BVI Business Companies Act, 2004). La circonstance que la réinscription de la société ait été de courte durée ne remet pas en cause cette appréciation. Au regard de ce qui précède, G______ LTD a valablement rétrocédé sa créance à l’appelante le 2 août 2016, contrairement à ce qu’a retenu le Tribunal. Dans la mesure où le droit étranger a pu être établi, les règles de droit suisse invoquées par l'intimé sont dépourvues de pertinence. Par ailleurs, la circonstance que l'appelante ne se soit pas expressément prévalue de l'art. 217 al. 6 BVI Business Companies Act, 2004 dans ses écritures de première instance est également dénué d'incidence, puisqu’il incombe au juge d’établir d'office le droit étranger, étant au demeurant relevé que l'autorité de première instance n'a pas requis la collaboration des parties sur ce point.</w:t>
      </w:r>
    </w:p>
    <w:p>
      <w:r>
        <w:t>Dès lors que G______ LTD a valablement rétrocédé à l'appelante la créance qu'elle détenait à l'encontre de l'intimé, la seconde est bien titulaire de la créance dont elle réclame le paiement par la voie de la poursuite à l'encontre de ce dernier (cf. également développements au consid. 4 ci-dessous).</w:t>
      </w:r>
    </w:p>
    <w:p>
      <w:r>
        <w:t>L'appel est dès lors fondé sur ce point.</w:t>
      </w:r>
    </w:p>
    <w:p>
      <w:r>
        <w:rPr>
          <w:b/>
        </w:rPr>
        <w:t>E. 4</w:t>
      </w:r>
    </w:p>
    <w:p>
      <w:r>
        <w:t>Dans une motivation subsidiaire, l’intimé a fait valoir que l’appelante ne serait de toute manière pas titulaire de la créance déduite en poursuite, puisqu’elle aurait été cédée à C______/E______ BV, dans le cadre du contrat du 30 mai 2008 prévoyant le transfert des activités de la succursale de la première en faveur de celle de la seconde.</w:t>
      </w:r>
    </w:p>
    <w:p>
      <w:r>
        <w:t>Cette argumentation, qui frise la témérité, ne peut être suivie (étant relevé que l’allégué correspondant de l’intimé avait bien été contesté par l’appelante en première instance). D’une part, il résulte de l’accord signé le 11 mars 2015 entre C______/E______ BV et l’intimé en vue de régler les modalités de la fin des rapports de travail que le bonus dû en faveur du travailleur devait être versé « au</w:t>
      </w:r>
    </w:p>
    <w:p>
      <w:r>
        <w:t>- 14/21 -</w:t>
      </w:r>
    </w:p>
    <w:p>
      <w:r>
        <w:t>C/3402/2022 prêteur, plutôt que directement sur le compte de l'employé ». Il est dès lors indéniable que l’employeur de l’intimé n’est pas devenu titulaire de la créance présentement litigieuse à l’occasion du contrat du 30 mai 2008. En effet, si tel avait été le cas, l’accord réglant la fin des rapports de travail aurait simplement prévu une compensation entre le bonus dû et la créance de l’employeur, et non pas le versement dudit bonus en mains d’un tiers. D’autre part, l’appelante et l’intimé ont signé un addendum le 1er janvier 2012, ce document prévoyant de reporter l’échéance des prêts, à condition que tout montant net qui serait dû à l’intimé par son employeur (soit C______/E______ BV) à titre de bonus soit utilisé dans les 30 jours suivant son encaissement pour rembourser lesdits prêts. L’intimé a ensuite formellement consenti à la cession de créances intervenue le 30 juin 2014 entre l’appelante et G______ LTD. Il a dès lors reconnu, sans équivoque, que la qualité de créancière de l’appelante existait encore à ces dates-là, indépendamment du contrat du 30 mai 2008. L’allégation selon laquelle il aurait signé ce dernier acte « pour seule prise de connaissance, dans l’urgence, au vu de la réorganisation en cours du groupe C______ » n’apparaît pas crédible et ne trouve aucune assise dans le dossier.</w:t>
      </w:r>
    </w:p>
    <w:p>
      <w:r>
        <w:t>Il en résulte que l’argumentation de l’intimé relative au défaut de légitimation active de l’appelante en raison du contrat susvisé du 30 mai 2008 est infondée et doit être écartée.</w:t>
      </w:r>
    </w:p>
    <w:p>
      <w:r>
        <w:rPr>
          <w:b/>
        </w:rPr>
        <w:t>E. 5</w:t>
      </w:r>
    </w:p>
    <w:p>
      <w:r>
        <w:t>Au regard de l’ensemble de ce qui précède, la légitimation active de l’appelante sera admise et le jugement attaqué doit être annulé.</w:t>
      </w:r>
    </w:p>
    <w:p>
      <w:r>
        <w:rPr>
          <w:b/>
        </w:rPr>
        <w:t>E. 6.1</w:t>
      </w:r>
    </w:p>
    <w:p>
      <w:r>
        <w:t>En cas d’annulation du jugement de première instance, l'instance d'appel peut statuer à nouveau ou renvoyer la cause à la première instance lorsqu'un élément essentiel de la demande n'a pas été jugé ou lorsque l'état de fait doit être complété sur des points essentiels (art. 318 al. 1 CPC). Selon le principe du double degré de juridiction, le tribunal cantonal supérieur ne peut pas trancher un litige avant que le tribunal inférieur ait statué (ATF 106 II 106 consid. 1a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Dans la mesure où l'instance précédente a violé des garanties formelles de procédure, la cassation de sa décision demeure la règle, les justiciables pouvant, en principe, se prévaloir de la garantie du double degré de juridiction (ATF 137 I 195 consid. 2.3.2 et 2.7, in SJ 2011 I 345). Un renvoi au premier juge se justifie en particulier si ce dernier a omis certaines allégations, en a considéré à tort certaines comme non pertinentes ou encore s'il a</w:t>
      </w:r>
    </w:p>
    <w:p>
      <w:r>
        <w:t>- 15/21 -</w:t>
      </w:r>
    </w:p>
    <w:p>
      <w:r>
        <w:t>C/3402/2022 déclaré erronément des allégations non contestées ou notoires, ce qui l'a amené à procéder à une administration incomplète des moyens de preuves (arrêt du Tribunal fédéral 4A_417/2013 du 25 février 2014 consid. 5.2). Il n'appartient en principe pas à l'autorité de recours d'établir les faits en lieu et place du premier juge. Le but du renvoi est aussi d'éviter aux parties des inconvénients du fait qu'une seule instance aurait tranché des questions importantes de fait et de droit (décision du Kantonsgericht Basel-Landschaft 400 13 153 du 13 août 2013 consid. 4.3). L'effet cassatoire de l'appel par renvoi à l'autorité de première instance selon l'art. 318 al. 1 let. c CPC doit rester l'exception (ATF 137 III 617 consid. 4.3), si bien que cette disposition doit s'interpréter restrictivement (REETZ/HILBER, op. cit., n. 29 ad art. 318 CPC; JEANDIN, op. cit., n. 4 ad art. 318 CPC). Le choix de l'une des variantes prévues par l'art. 318 al. 1 CPC relève de l'appréciation de l'autorité de recours (arrêts du Tribunal fédéral 5A_424/2018 du 3 décembre 2018 consid. 4.2; 4A_460/2016 du 5 janvier 2017 consid. 1.3). Celle- ci doit examiner d'office si un renvoi en première instance se justifie et elle n'est pas liée, à ce sujet, par les conclusions des parties (SÖRENSEN, Commentaire pratique, Droit matrimonial : Fond et procédure, n. 8 ad art. 318 CPC).</w:t>
      </w:r>
    </w:p>
    <w:p>
      <w:r>
        <w:rPr>
          <w:b/>
        </w:rPr>
        <w:t>E. 6.2</w:t>
      </w:r>
    </w:p>
    <w:p>
      <w:r>
        <w:t>En l’espèce, le Tribunal n’a pas statué sur l’existence de la créance présentement litigieuse.</w:t>
      </w:r>
    </w:p>
    <w:p>
      <w:r>
        <w:t>Cela étant, les points de fait pertinents pour l'issue du litige ont été allégués et instruits par le Tribunal. La cause est donc en état d'être jugée, les parties ne sollicitant au demeurant aucun complément d'instruction.</w:t>
      </w:r>
    </w:p>
    <w:p>
      <w:r>
        <w:t>Un renvoi de la cause au premier juge pour qu'il statue sur ce point aboutirait à un rallongement de la procédure difficilement compatible avec l'intérêt des parties à ce que la cause soit tranchée dans un délai raisonnable Dans la mesure où la Cour dispose d'un pouvoir de cognition complet en fait et en droit, elle se prononcera donc ci-après sur la question de l’existence de la créance qui fait l’objet de la présente action en libération de dette.</w:t>
      </w:r>
    </w:p>
    <w:p>
      <w:r>
        <w:rPr>
          <w:b/>
        </w:rPr>
        <w:t>E. 7</w:t>
      </w:r>
    </w:p>
    <w:p>
      <w:r>
        <w:t>Dans l'hypothèse où la Cour retiendrait que l'appelante dispose bien de la légitimation active, l'intimé fait valoir que la créance déduite en poursuite, liée aux contrats de prêt conclus en 2006, n'existe plus.</w:t>
      </w:r>
    </w:p>
    <w:p>
      <w:r>
        <w:rPr>
          <w:b/>
        </w:rPr>
        <w:t>E. 7.1.1</w:t>
      </w:r>
    </w:p>
    <w:p>
      <w:r>
        <w:t>Le prêt de consommation est un contrat par lequel le prêteur s'oblige à transférer la propriété d'une somme d'argent ou d'autres choses fongibles à l'emprunteur, à charge pour ce dernier de lui en rendre autant de même espèce et</w:t>
      </w:r>
    </w:p>
    <w:p>
      <w:r>
        <w:t>- 16/21 -</w:t>
      </w:r>
    </w:p>
    <w:p>
      <w:r>
        <w:t>C/3402/2022 qualité (art. 312 CO). A la fin du contrat, l'emprunteur doit rendre au prêteur la propriété d'autant de choses de même espèce et qualité. Les dispositions régissant le contrat de prêt de consommation ne sont pas de nature impérative, de sorte que les parties peuvent en principe aménager librement leur relation contractuelle (art. 1 et 19 CO) (ATF 145 III 241 consid. 3.1).</w:t>
      </w:r>
    </w:p>
    <w:p>
      <w:r>
        <w:t>A l'échéance du prêt, l'emprunteur est en principe tenu de restituer au prêteur autant de biens de même espèce et qualité (art. 312 al. 1 CO). Comme les dispositions régissant le contrat de prêt de consommation ne sont pas de nature impérative, les parties peuvent en principe aménager librement leur relation contractuelle (ATF 145 III 241 précité consid. 3.5.2).</w:t>
      </w:r>
    </w:p>
    <w:p>
      <w:r>
        <w:rPr>
          <w:b/>
        </w:rPr>
        <w:t>E. 7.1.2</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L'art. 8 CC ne dicte cependant pas sur quelles bases et comment le juge doit former sa conviction (ATF 128 III 22 consid. 2d).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144 III 264 consid. 5.2; arrêt du Tribunal fédéral 4A_248/2022 du 2 août 2022 consid. 4.1).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L'appréciation se fait tant sur chaque moyen de preuve que sur le résultat global. Le comportement des parties est également pris en compte dans l'appréciation globale (CHABLOZ/COPT, Petit commentaire CPC, 2020, n. 6 et 7 ad art. 157 CPC).</w:t>
      </w:r>
    </w:p>
    <w:p>
      <w:r>
        <w:rPr>
          <w:b/>
        </w:rPr>
        <w:t>E. 7.2</w:t>
      </w:r>
    </w:p>
    <w:p>
      <w:r>
        <w:t>En l'occurrence, l’existence des prêts de l’appelante en faveur de l’intimé pour lui permettre d’acquérir un bien immobilier est démontrée. Il a également été établi ci-dessus que l’appelante – qui avait cédé le solde de ses créances à G______ LTD en juin 2014 – est redevenue titulaire de ce solde de créances, à la suite de la rétrocession intervenue en août 2016. Entre-temps, dans l’accord du 11 mars 2015, C______/E______ BV s'est engagée à verser à l’intimé un bonus de 2'636'411 fr. 05 bruts au 30 novembre 2015, lequel correspondait, après déduction des impôts à la source et des charges sociales, au solde du prêt hypothécaire de l'employé. Il était spécifié que le bonus devait être versé au prêteur, plutôt que directement sur le compte de l'employé. Dès le</w:t>
      </w:r>
    </w:p>
    <w:p>
      <w:r>
        <w:t>- 17/21 -</w:t>
      </w:r>
    </w:p>
    <w:p>
      <w:r>
        <w:t>C/3402/2022 versement du bonus au prêteur, lequel devait intervenir au plus tard le 30 novembre 2015, le nantissement en faveur de G______ LTD serait révoqué. Après avoir prétendu (cf. consid. 4 ci-dessus) que G______ LTD n’était en réalité jamais devenue titulaire de la créance litigieuse, l’intimé soutient que la créance en question serait éteinte du fait que cette société aurait reçu un versement de C______/E______ BV sur la base de l’accord du 11 mars 2015. Il a en effet fait valoir qu’à une date inconnue mais postérieure à la signature de cet accord, C______/E______ BV avait exécuté l’engagement pris en remboursant à G______ LTD l’intégralité du solde du prêt. Il a fondé cet allégué sur les explications fournies par l’appelante dans la partie en droit de son recours formé le 15 octobre 2021 dans le cadre de la procédure de mainlevée (cf. p. 11-12), ainsi que dans la partie en droit de sa réponse à l’action en libération de dette (cf. p. 8). Dans ces écritures, l’appelante a en substance exposé que le processus contractuel - soit la signature de la convention (étape I), le versement "intervenu probablement à la signature du contrat" du bonus au prêteur sur son compte bancaire (étape II) et la révocation du nantissement ainsi que la remise de la cédule hypothécaire au porteur qui confirmait la bonne exécution des deux premières étapes (étape III) - avait été " pleinement réalisé et exécuté entre le</w:t>
      </w:r>
    </w:p>
    <w:p>
      <w:r>
        <w:rPr>
          <w:b/>
        </w:rPr>
        <w:t>E. 11</w:t>
      </w:r>
    </w:p>
    <w:p>
      <w:r>
        <w:t>mai 2015 et le 12 octobre 2015", vu que l’intimé avait remis ladite cédule le</w:t>
      </w:r>
    </w:p>
    <w:p>
      <w:r>
        <w:rPr>
          <w:b/>
        </w:rPr>
        <w:t>E. 12</w:t>
      </w:r>
    </w:p>
    <w:p>
      <w:r>
        <w:t>octobre 2015 à un tiers en garantie d'un contrat d'hypothèque. Cela étant, toujours dans sa réponse à l’action en libération de dette, l’appelante a fait valoir que l’intimé n’avait jamais remboursé (le solde) des prêts qui lui avaient été octroyés (cf. ch. 25-26 réponse du 6 mai 2022). L’intimé a contesté les allégués précités, arguant que « le groupe C______ et son animateur […] avaient confirmé considérer que le prêt avait bel et bien été remboursé en intégralité selon un accord datant de 2005 déjà ». Cela paraît cependant difficilement possible puisqu’il s’agit d’une date antérieure aux prêts litigieux. L’intimé n’a, quoi qu’il en soit, pas offert la moindre preuve du remboursement effectif du solde de sa dette. En tout état et indépendamment des explications confuses et contradictoires fournies par les deux parties à la présente procédure, il est établi que le 30 novembre 2015, C______/E______ BV a indiqué à l’intimé qu'elle ne s'acquitterait pas du bonus, lui reprochant d'avoir violé ses propres obligations résultant de l'accord du 11 mars 2015. Cela a d’ailleurs donné lieu à une procédure prud’homale débutée en 2016, dans le cadre de laquelle l’intimé a agi contre son ancien employeur en paiement du bonus convenu dans l’accord du 11 mars 2015, ce qu’il a obtenu. Dans le cadre de l’action prud’homale, l’intimé avait subsidiairement conclu à ce que sa partie adverse soit condamnée à payer une partie de son bonus en mains de G______ LTD. Ce faisant, il a implicitement admis que son ancien employeur</w:t>
      </w:r>
    </w:p>
    <w:p>
      <w:r>
        <w:t>- 18/21 -</w:t>
      </w:r>
    </w:p>
    <w:p>
      <w:r>
        <w:t>C/3402/2022 n’avait pas remboursé le solde des prêts à la prêteuse. Pour le surplus, si l’employeur avait effectivement payé le bonus en mains de la détentrice de la créance, tel que cela était prévu dans la convention de fin des rapports de travail, elle aurait nécessairement apporté la preuve de ce versement dans le cadre du litige prud’homal, afin de ne pas avoir à s’exécuter une seconde fois. La circonstance que la cédule hypothécaire ait été restituée à l’intimé n’est pas de nature à remettre en cause l’appréciation qui précède, puisque la remise de la cédule est intervenue au plus tard le 12 octobre 2015 (date à laquelle l’intimé l’a remise à un établissement bancaire à titre de sûretés), soit avant même que C______/E______ BV fasse savoir au premier nommé qu’elle ne s’acquitterait finalement pas du bonus prévu dans la convention du 11 mars 2015. La remise de la cédule hypothécaire ne démontre dès lors en rien l’extinction de la créance.</w:t>
      </w:r>
    </w:p>
    <w:p>
      <w:r>
        <w:t>En définitive, aucun élément concret du dossier ne permet d’établir que le solde du prêt octroyé à l’intimé aurait été remboursé. L’intimé n’ayant apporté aucun élément de preuve permettant de retenir, comme il le prétend, que sa dette serait éteinte, il doit être débouté de son action en libération de dette. 8. 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in Commentaire romand LP, 2ème éd. 2025, n. 24 ad art. 83 LP). En l'espèce, l'intimé ayant été débouté de son action en libération de dette, la mainlevée provisoire prononcée par la Cour dans son arrêt ACJC/100/2022 du 21 janvier 2022 devient définitive. Il sera donc statué en ce sens. 9. 9.1 Si l'instance d'appel statue à nouveau, elle se prononce sur les frais de la première instance (art. 318 al. 3 CPC). Dès lors que la quotité des frais (41'000 fr.) et dépens (40'000 fr.) de première instance n'est pas remise en cause par les parties et que ceux-ci ont été arrêtés conformément aux règles applicables, elle sera confirmée. Ils seront mis à la charge de l’intimé, qui succombe intégralement. Les frais judiciaires seront compensés à concurrence de 40'000 fr. avec l’avance que le précité avait versée, qui demeure acquise à l’Etat de Genève (art. 111 al. 1 aCPC). L'intimé sera condamné à verser 1’000 fr. à l'appelante à titre de</w:t>
      </w:r>
    </w:p>
    <w:p>
      <w:r>
        <w:t>- 19/21 -</w:t>
      </w:r>
    </w:p>
    <w:p>
      <w:r>
        <w:t>C/3402/2022 remboursement partiel de son avance. L'Etat de Genève restituera à l’appelante le solde de son avance, soit 1'240 fr. Au vu des 40'000 fr. de dépens que l’intimé doit à l’appelante pour la procédure de première instance, les sûretés de 25'000 fr. versées par le premier seront entièrement libérées en mains de la seconde.</w:t>
      </w:r>
    </w:p>
    <w:p>
      <w:r>
        <w:t>9.2 Les frais judiciaires d'appel seront fixés à 36’000 fr. (art. 17 et 35 RTFMC). Pour les mêmes motifs, ils seront mis à la charge de l'intimé, lequel sera condamné à rembourser ce montant à l’appelante, qui en a fait l’avance (art. 111 al. 1 et 2 aCPC). L’intimé sera également condamné à verser à l’appelante 20’000 fr. à titre de dépens, débours compris (art. 84, 85, 89 et 90 RTFMC ; 25 LaCC), sans TVA, le siège de la précitée étant à l'étranger (ATF 141 IV 344 consid. 4.1; arrêt du Tribunal fédéral 4A_623/2015 du 3 mars 2016). * * * * *</w:t>
      </w:r>
    </w:p>
    <w:p>
      <w:r>
        <w:t>- 20/21 -</w:t>
      </w:r>
    </w:p>
    <w:p>
      <w:r>
        <w:t>C/3402/2022 PAR CES MOTIFS, La Chambre civile :</w:t>
      </w:r>
    </w:p>
    <w:p>
      <w:r>
        <w:t>A la forme : Déclare recevable l'appel interjeté le 28 novembre 2024 par A______ LTD contre le jugement JTPI/12797/2024 rendu le 17 octobre 2024 par le Tribunal de première instance dans la cause C/3402/2022. Au fond : Annule ce jugement et, statuant à nouveau : Rejette l'action en libération de dette formée le 21 février 2022 par B______. Prononce la mainlevée définitive de l'opposition formée par B______ au commandement de payer, poursuite n° 1______, notifié le 11 février 2021, à concurrence de 1'366'494 fr. 26 avec intérêts moratoires à 5% l'an dès le 10 juillet 2020 et de 1'010 fr. 83 avec intérêts moratoires à 5% l'an dès le 11 février 2021. Arrête les frais judiciaires de première instance à 41’000 fr., les met à la charge de B______ et les compense partiellement avec l'avance qu'il a versée en 40’000 fr., qui demeure acquise à l'Etat de Genève. Condamne B______ à verser 1’000 fr. à A______ LTD à titre de remboursement partiel de son avance de frais. Ordonne à l'Etat de Genève, soit pour lui les Services financiers du Pouvoir judiciaire, de rembourser 1'240 fr. à A______ LTD. Condamne B______ à verser 40'000 fr. à A______ LTD à titre de dépens de première instance. Ordonne en conséquence la libération des sûretés versées par B______, à hauteur de 25'000 fr., en faveur de A______ LTD, ce en déduction du montant des dépens arrêtés ci-dessus. Déboute les parties de toutes autres conclusions. Sur les frais de seconde instance : Arrête les frais judiciaires d'appel à 36'000 fr., les met à la charge de B______ et les compense avec l'avance versée par A______ LTD, qui reste acquise à l'Etat de Genève.</w:t>
      </w:r>
    </w:p>
    <w:p>
      <w:r>
        <w:t>- 21/21 -</w:t>
      </w:r>
    </w:p>
    <w:p>
      <w:r>
        <w:t>C/3402/2022 Condamne B______ à verser 36’000 fr. à A______ LTD à titre de remboursement des frais judiciaires d'appel. Condamne B______ à payer 20’000 fr. à A______ LTD à titre de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