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ACJC/1451/2017 vom 8. November 2017</w:t>
      </w:r>
    </w:p>
    <w:p>
      <w:r>
        <w:t>GE Cour de justice, 2017-11-08, FR</w:t>
      </w:r>
    </w:p>
    <w:p>
      <w:r>
        <w:rPr>
          <w:b/>
        </w:rPr>
        <w:t xml:space="preserve">Quelle: </w:t>
      </w:r>
      <w:r>
        <w:t>https://mcp.opencaselaw.ch/entscheid/ge_gerichte_ACJC_1451_2017</w:t>
      </w:r>
    </w:p>
    <w:p>
      <w:r>
        <w:t>FR: GE_GERICHTE ACJC/1451/2017 du 8 novembre 2017</w:t>
      </w:r>
    </w:p>
    <w:p>
      <w:r>
        <w:t>IT: GE_GERICHTE ACJC/1451/2017 del 8 novembre 2017</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- 6/13 -</w:t>
      </w:r>
    </w:p>
    <w:p>
      <w:r>
        <w:t>C/2518/2017</w:t>
      </w:r>
    </w:p>
    <w:p>
      <w:r>
        <w:t>Aux termes de l'art. 321 al. 1 et 2 CPC, le recours doit être introduit auprès de l'instance de recours dans les dix jours à compter de la notification de la décision motivée, pour les décisions prises en procédure sommaire (art. 251 let. a CPC).</w:t>
      </w:r>
    </w:p>
    <w:p>
      <w:r>
        <w:t>A Genève, la Chambre civile de la Cour de justice est l'instance compétente pour connaître d'un recours (art. 120 al. 1 let. a LOJ).</w:t>
      </w:r>
    </w:p>
    <w:p>
      <w:r>
        <w:t>Déposé dans le délai et la forme prescrits,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La recourante reprend, dans son recours, mot pour mot les allégués de fait contenus dans l'écriture spontanée qu'elle avait déposée le 17 mai 2017 au Tribunal, laquelle a été déclarée irrecevable par celui-ci. La recourante n'a pas remis en cause le dispositif de la décision entreprise sur ce point.</w:t>
      </w:r>
    </w:p>
    <w:p>
      <w:r>
        <w:rPr>
          <w:b/>
        </w:rPr>
        <w:t>E. 2.1</w:t>
      </w:r>
    </w:p>
    <w:p>
      <w:r>
        <w:t>Les conclusions, les allégations de faits et les preuves nouvelles sont irrecevables (art. 326 al. 1 CPC).</w:t>
      </w:r>
    </w:p>
    <w:p>
      <w:r>
        <w:rPr>
          <w:b/>
        </w:rPr>
        <w:t>E. 2.2</w:t>
      </w:r>
    </w:p>
    <w:p>
      <w:r>
        <w:t>A teneur de l'art. 253 CPC, lorsqu'une requête déposée en procédure sommaire ne paraît pas manifestement irrecevable ou infondée, le Tribunal donne à la partie adverse l'occasion de se déterminer oralement ou par écrit.</w:t>
      </w:r>
    </w:p>
    <w:p>
      <w:r>
        <w:t>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w:t>
      </w:r>
    </w:p>
    <w:p>
      <w:r>
        <w:t>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w:t>
      </w:r>
    </w:p>
    <w:p>
      <w:r>
        <w:t>- 7/13 -</w:t>
      </w:r>
    </w:p>
    <w:p>
      <w:r>
        <w:t>C/2518/2017 au défendeur afin qu'il se détermine par écrit ou citer les parties à une audience où celui-ci pourra prendre position oralement (arrêt du Tribunal fédéral 5A_403/2014 du 19 août 2014 consid. 4.1).</w:t>
      </w:r>
    </w:p>
    <w:p>
      <w:r>
        <w:t>En procédure sommaire, les pièces peuvent être produites jusqu'à la fin de l'administration des preuves, s'il est tenu une, voire plusieurs audiences (BOHNET, in Code de procédure civile commenté, Bohnet/Haldy/Jeandin/ Schweizer/Tappy [édit.], 2011, n. 9 ad art. 252 CPC et n. 4 ad art. 254 CPC).</w:t>
      </w:r>
    </w:p>
    <w:p>
      <w:r>
        <w:rPr>
          <w:b/>
        </w:rPr>
        <w:t>E. 2.3</w:t>
      </w:r>
    </w:p>
    <w:p>
      <w:r>
        <w:t>En l'espèce, conformément aux principes rappelés ci-avant, c'est à bon droit que le Tribunal a déclaré irrecevable l'écriture de la recourante du 17 mai 2017, dès lors qu'il avait opté pour une procédure orale. En revanche, et à juste titre, le Tribunal a admis à la procédure les titres versés par la recourante. Il s'ensuit que la recourante, qui n'a pas fait valoir une appréciation arbitraire des faits, n'est pas admise à se prévaloir d'autres faits que ceux allégués lors de l'audience du 22 mai 2017.</w:t>
      </w:r>
    </w:p>
    <w:p>
      <w:r>
        <w:rPr>
          <w:b/>
        </w:rPr>
        <w:t>E. 2.4</w:t>
      </w:r>
    </w:p>
    <w:p>
      <w:r>
        <w:t>Par conséquent, les allégués nouveaux de la recourante sont déclarés irrecevables.</w:t>
      </w:r>
    </w:p>
    <w:p>
      <w:r>
        <w:rPr>
          <w:b/>
        </w:rPr>
        <w:t>E. 3</w:t>
      </w:r>
    </w:p>
    <w:p>
      <w:r>
        <w:t>La recourante soutient que la présente procédure devrait être suspendue jusqu'à droit jugé sur une procédure actuellement pendante devant la Cour et dirigée contre l'intimé.</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w:t>
      </w:r>
    </w:p>
    <w:p>
      <w:r>
        <w:t>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w:t>
      </w:r>
    </w:p>
    <w:p>
      <w:r>
        <w:t>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w:t>
      </w:r>
    </w:p>
    <w:p>
      <w:r>
        <w:t>- 8/13 -</w:t>
      </w:r>
    </w:p>
    <w:p>
      <w:r>
        <w:t>C/2518/2017</w:t>
      </w:r>
    </w:p>
    <w:p>
      <w:r>
        <w:t>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w:t>
      </w:r>
    </w:p>
    <w:p>
      <w:r>
        <w:t>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 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 le Tribunal fédéral n'a pas encore jugé si une suspension de la procédure peut être ordonnée dans le cadre d'une procédure sommaire (arrêt du Tribunal fédéral 5A_311/2012 du 15 mai 2013 consid. 3).</w:t>
      </w:r>
    </w:p>
    <w:p>
      <w:r>
        <w:t>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w:t>
      </w:r>
    </w:p>
    <w:p>
      <w:r>
        <w:t>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w:t>
      </w:r>
    </w:p>
    <w:p>
      <w:r>
        <w:t>- 9/13 -</w:t>
      </w:r>
    </w:p>
    <w:p>
      <w:r>
        <w:t>C/2518/2017 consid. 3 = JdT 1975 II 116; arrêt du Tribunal fédéral 6P.142/2005 du 9 février 2006 consid. 2.2; SCHMIDT, Commentaire romand, LP, 2005, n. 17 s. ad art. 80 LP).</w:t>
      </w:r>
    </w:p>
    <w:p>
      <w:r>
        <w:rPr>
          <w:b/>
        </w:rPr>
        <w:t>E. 3.2</w:t>
      </w:r>
    </w:p>
    <w:p>
      <w:r>
        <w:t>La Cour retient que compte tenu des caractéristiques de la procédure de mainlevée, soit en particulier que le juge de la mainlevée ne tranche qu'une question de procédure d'exécution forcée et que le jugement de mainlevée est dépourvu de l'autorité de chose jugée hors de la présente poursuite, il n'y a en l'espèce pas de risque de contrariété lié à l'existence d'une procédure connexe.</w:t>
      </w:r>
    </w:p>
    <w:p>
      <w:r>
        <w:t>Par ailleurs, la procédure en paiement est actuellement pendante devant la Cour et il n'est pas allégué qu'une décision soit rendue dans un proche avenir. De plus, une suspension de la présente cause paraît incompatible avec le caractère sommaire de la procédure de mainlevée.</w:t>
      </w:r>
    </w:p>
    <w:p>
      <w:r>
        <w:rPr>
          <w:b/>
        </w:rPr>
        <w:t>E. 3.3</w:t>
      </w:r>
    </w:p>
    <w:p>
      <w:r>
        <w:t>Infondé, ce grief sera rejeté.</w:t>
      </w:r>
    </w:p>
    <w:p>
      <w:r>
        <w:rPr>
          <w:b/>
        </w:rPr>
        <w:t>E. 4</w:t>
      </w:r>
    </w:p>
    <w:p>
      <w:r>
        <w:t>La recourante reproche au Tribunal d'avoir prononcé la mainlevée provisoire, la créance de l'intimé n'étant pas exigible.</w:t>
      </w:r>
    </w:p>
    <w:p>
      <w:r>
        <w:rPr>
          <w:b/>
        </w:rPr>
        <w:t>E. 4.1</w:t>
      </w:r>
    </w:p>
    <w:p>
      <w:r>
        <w:t>Le créancier dont la poursuite se fonde sur une reconnaissance de dette constatée par acte authentique ou sous seing privé peut requérir la mainlevée provisoire (art. 82 al. 1 LP). 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(GILLERION, Commentaire de la loi fédérale sur la poursuite pour dettes et la faillite, 1999, n. 73 ss ad art. 82 LP).</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Dans le cadre d'une procédure sommaire, le rôle du juge de la mainlevée n'est pas d'interpréter des contrats ou d'autres documents, mais d'accorder rapidement, après examen sommaire des faits et du droit, une protection provisoire au</w:t>
      </w:r>
    </w:p>
    <w:p>
      <w:r>
        <w:t>- 10/13 -</w:t>
      </w:r>
    </w:p>
    <w:p>
      <w:r>
        <w:t>C/2518/2017 requérant dont la situation juridique paraît claire (ACJC/1178/2016 du</w:t>
      </w:r>
    </w:p>
    <w:p>
      <w:r>
        <w:rPr>
          <w:b/>
        </w:rPr>
        <w:t>E. 4.2</w:t>
      </w:r>
    </w:p>
    <w:p>
      <w:r>
        <w:t>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JAEGER/WALDER/KULL/KOTTMANN, Bundesgesetz über Schuldbetreibung und Konkurs, 4ème édition, 1997, n. 10 ad art. 82 LP).</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 quelques jurisprudences récentes, in JdT 2008 II 23 ss, p. 35).</w:t>
      </w:r>
    </w:p>
    <w:p>
      <w:r>
        <w:t>- 11/13 -</w:t>
      </w:r>
    </w:p>
    <w:p>
      <w:r>
        <w:t>C/2518/2017</w:t>
      </w:r>
    </w:p>
    <w:p>
      <w:r>
        <w:rPr>
          <w:b/>
        </w:rPr>
        <w:t>E. 4.3</w:t>
      </w:r>
    </w:p>
    <w:p>
      <w:r>
        <w:t>Le poursuivi peut faire échec à la mainlevée en rendant immédiatement vraisemblable sa libération (art. 82 al. 2 LP; ATF 96 I 4 consid. 2; arrêts 5A_577/2013 du 7 octobre 2013 consid. 4.3.1; 5A_878/2011 du 5 mars 2012 consid. 2.2). Il peut se prévaloir de tous les moyens de droit civil - exceptions ou objections - qui infirment la reconnaissance de dette (ATF 131 III 268 consid. 3.2; arrêt du Tribunal fédéral 5A_465/2014 du 20 août 2014 consid. 7.2.1.3), notamment l'inexistence ou l'extinction de la dette (STAEHELIN, op. cit., n. 90 s. ad art. 82 LP).</w:t>
      </w:r>
    </w:p>
    <w:p>
      <w:r>
        <w:rPr>
          <w:b/>
        </w:rPr>
        <w:t>E. 4.4</w:t>
      </w:r>
    </w:p>
    <w:p>
      <w:r>
        <w:t>Dans le présent cas, à l'instar du Tribunal, la Cour retient que le contrat de vente d'actions du 15 juillet 2011, signé par l'administrateur de la recourante, rapproché au courrier électronique de C______ du 19 avril 2016 constitue une reconnaissance de dette. Bien que le courriel suscité ne comporte pas de signature manuscrite, il n'est pas contesté qu'il ait été adressé à l'intimé par son expéditeur. Son contenu n'est pas non plus contesté par la recourante. Il s'ensuit que le compte courant sur lequel le prix de la vente des actions a été porté, soit 37'500 fr., présentait un solde de 31'800 fr. en faveur de l'intimé.</w:t>
      </w:r>
    </w:p>
    <w:p>
      <w:r>
        <w:t>Contrairement à ce que soutient la recourante, il ne ressort pas des titres versés à la procédure que les parties seraient convenues de régler simultanément le paiement du compte courant actionnaire et le règlement du rachat des actions. Par ailleurs, la convention d'actionnaires conclue le 23 mai 2012 a trait au retrait d'un actionnaire de la société D______ et non pas de la société recourante. Par conséquent, la créance de l'intimé est exigible, ce qu'a retenu à bon droit le premier juge.</w:t>
      </w:r>
    </w:p>
    <w:p>
      <w:r>
        <w:t>Dès lors que la recourante ne fait plus valoir dans la présente procédure de recours l'exception de compensation, il n'y a pas lieu de l'examiner.</w:t>
      </w:r>
    </w:p>
    <w:p>
      <w:r>
        <w:rPr>
          <w:b/>
        </w:rPr>
        <w:t>E. 4.5</w:t>
      </w:r>
    </w:p>
    <w:p>
      <w:r>
        <w:t>Infondé, le recours sera rejeté. 5. La recourante, qui succombe, sera condamnée aux frais du recours (art. 106 al. 1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400 fr. Partant, l'émolument de la présente décision sera fixé à 600 fr. et mis à la charge de la recourante, compensé avec l'avance de frais du même montant fournie par elle, laquelle reste acquise à l'Etat de Genève (art. 111 al. 1 CPC).</w:t>
      </w:r>
    </w:p>
    <w:p>
      <w:r>
        <w:t>- 12/13 -</w:t>
      </w:r>
    </w:p>
    <w:p>
      <w:r>
        <w:t>C/2518/2017</w:t>
      </w:r>
    </w:p>
    <w:p>
      <w:r>
        <w:t>La recourante sera en outre condamnée à verser à l'intimé la somme de 1'000 fr. à titre de dépens, débours et TVA compris (art. 105 al. 2 CPC; art. 84, 85, 89 et 90 RTFMC; art. 23, 25 et 26 LaCC). * * * * *</w:t>
      </w:r>
    </w:p>
    <w:p>
      <w:r>
        <w:t>- 13/13 -</w:t>
      </w:r>
    </w:p>
    <w:p>
      <w:r>
        <w:t>C/2518/2017 PAR CES MOTIFS, La Chambre civile : A la forme : Déclare recevable le recours interjeté le 3 juillet 2017 par A______ contre le jugement JTPI/8213/2017 rendu le 21 juin 2017 par le Tribunal de première instance dans la cause C/2518/2017-21 SML. Au fond : Le rejette. Déboute les parties de toutes autres conclusions. Sur les frais : Arrête les frais judiciaires du recours à 600 fr., entièrement compensés avec l'avance de frais fournie, laquelle demeure acquise à l'Etat de Genève, soit pour lui les Services financiers du Pouvoir judiciaire. Les met à la charge de A______. Condamne A______ à verser à B______ 1'000 fr. à titre de dépens de recours.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septembre 2016 consid. 3.1.1; JT 1969 II 32).</w:t>
      </w:r>
    </w:p>
    <w:p>
      <w:r>
        <w:t>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 arrêt du Tribunal fédéral 5A_313/2010 du 6 septembre 2010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