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ACJC/1448/2021 vom 9. November 2021</w:t>
      </w:r>
    </w:p>
    <w:p>
      <w:r>
        <w:t>GE Cour de justice, 2021-11-09, FR</w:t>
      </w:r>
    </w:p>
    <w:p>
      <w:r>
        <w:rPr>
          <w:b/>
        </w:rPr>
        <w:t xml:space="preserve">Quelle: </w:t>
      </w:r>
      <w:r>
        <w:t>https://mcp.opencaselaw.ch/entscheid/ge_gerichte_ACJC_1448_2021</w:t>
      </w:r>
    </w:p>
    <w:p>
      <w:r>
        <w:t>FR: GE_GERICHTE ACJC/1448/2021 du 9 novembre 2021</w:t>
      </w:r>
    </w:p>
    <w:p>
      <w:r>
        <w:t>IT: GE_GERICHTE ACJC/1448/2021 del 9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LTF prévoit que si une partie forme un recours ordinaire et un recours constitutionnel, elle doit déposer les deux recours dans un seul mémoire.</w:t>
      </w:r>
    </w:p>
    <w:p>
      <w:r>
        <w:t>Le recours doit être adressé au Tribunal fédéral, 1000 Lausanne 14.</w:t>
      </w:r>
    </w:p>
    <w:p>
      <w:r>
        <w:t>Valeur litigieuse des conclusions pécuniaires au sens de la LTF indéterminée.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