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ACJC/1442/2023 vom 31. Oktober 2023</w:t>
      </w:r>
    </w:p>
    <w:p>
      <w:r>
        <w:t>GE Cour de justice, 2023-10-31, FR</w:t>
      </w:r>
    </w:p>
    <w:p>
      <w:r>
        <w:rPr>
          <w:b/>
        </w:rPr>
        <w:t xml:space="preserve">Quelle: </w:t>
      </w:r>
      <w:r>
        <w:t>https://mcp.opencaselaw.ch/entscheid/ge_gerichte_ACJC_1442_2023</w:t>
      </w:r>
    </w:p>
    <w:p>
      <w:r>
        <w:t>FR: GE_GERICHTE ACJC/1442/2023 du 31 octobre 2023</w:t>
      </w:r>
    </w:p>
    <w:p>
      <w:r>
        <w:t>IT: GE_GERICHTE ACJC/1442/2023 del 31 ottobre 2023</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Interjeté en temps utile et selon les formes prescrites, le recours est recevable.</w:t>
      </w:r>
    </w:p>
    <w:p>
      <w:r>
        <w:rPr>
          <w:b/>
        </w:rPr>
        <w:t>E. 1.2</w:t>
      </w:r>
    </w:p>
    <w:p>
      <w:r>
        <w:t>Le recours étant instruit en procédure sommaire, la preuve des faits allégués doit être apportée par titres (art. 254 CPC). Les maximes des débats et de disposition s'appliquent (art. 55 al. 1, 255 a contrario et art. 58 al. 1 CPC).</w:t>
      </w:r>
    </w:p>
    <w:p>
      <w:r>
        <w:rPr>
          <w:b/>
        </w:rPr>
        <w:t>E. 1.3</w:t>
      </w:r>
    </w:p>
    <w:p>
      <w:r>
        <w:t>Le pouvoir d'examen de la Cour est limité à la violation du droit et à la constatation manifestement inexacte des faits (art. 320 CPC).</w:t>
      </w:r>
    </w:p>
    <w:p>
      <w:r>
        <w:rPr>
          <w:b/>
        </w:rPr>
        <w:t>E. 2</w:t>
      </w:r>
    </w:p>
    <w:p>
      <w:r>
        <w:t>Le recourant reproche au Tribunal d'avoir considéré que les titres produits valaient titre de mainlevée provisoire au sens de l'art. 82 LP.</w:t>
      </w:r>
    </w:p>
    <w:p>
      <w:r>
        <w:t>- 5/9 -</w:t>
      </w:r>
    </w:p>
    <w:p>
      <w:r>
        <w:t>C/3494/2023 Il soutient qu'aucun n'avenant n'ayant été conclu entre l'intimée et lui-même, à la suite de l'avenant signé par l'intimée et C______ le 28 juin 2022, il ne se serait pas constitué garant des sommes dues par la précitée. 2.1.1 Le créancier dont la poursuite se fonde sur une reconnaissance de dette constatée par acte authentique ou sous seing privé peut requérir la mainlevée provisoire (art. 82 al. 1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148 III 145 consid. 4.1.1; 145 III 20 consid. 4.1.1; 139 III 297 consid. 2.3.1 et les références citées). La reconnaissance de dette peut découler du rapprochement de plusieurs pièces, pour autant que les éléments nécessaires en résultent (ATF 139 III 297 consid. 2.3.1; 132 III 480 consid. 4.1; 130 III 87 consid. 3.1 et les références citées). 2.1.2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arrêts du Tribunal fédéral 5A_830/2021 du 17 février 2022 consid. 3.1; 5A_595/2021 du 14 janvier 2022 consid. 6.1). Il ne lui appartient pas davantage de trancher des questions délicates de droit matériel ou pour la solution desquelles le pouvoir d'appréciation joue un rôle important, dont la connaissance ressort exclusivement au juge du fond (ATF 124 III 501 consid. 3a; arrêt du Tribunal fédéral 5D_43/2019 du 24 mai 2019 consid. 5.2.1).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ATF 142 III 720 consid. 4.1). Conformément à l'art. 82 al. 2 LP, le poursuivi peut faire échec à la mainlevée en rendant immédiatement vraisemblable ses moyens libératoires (ATF 132 III 140 consid. 4.1.1 et les références citées; arrêt du Tribunal fédéral 5A_878/2011 du</w:t>
      </w:r>
    </w:p>
    <w:p>
      <w:r>
        <w:rPr>
          <w:b/>
        </w:rPr>
        <w:t>E. 2.2</w:t>
      </w:r>
    </w:p>
    <w:p>
      <w:r>
        <w:t>En l'espèce, le recourant soutient que dans la mesure où aucun n'avenant au contrat de garantie n'avait été conclu entre l'intimée et lui-même, à la suite de l'avenant signé par l'intimée et C______ le 28 juin 2022, modifiant le solde du leasing, il ne se serait pas constitué garant des sommes nouvellement dues par la précitée. Ce faisant, il perd de vue que le contrat de porte-fort qu'il a signé est indépendant du contrat conclu entre l'intimée et C______. Le contrat du 4 décembre 2020, liant les parties jusqu'au 28 février 2026, contient l'engagement du recourant de payer tout montant jusqu'à 200'000 fr. C'est à bon droit que le Tribunal a retenu que ledit contrat était un porte-fort valant reconnaissance de dette au sens de l'art. 82 al. 1 LP. Il résulte des autres pièces produites par l'intimée, notamment des différents avenants et contrat de garantie du 4 décembre 2020, que la faillite de C______ a été prononcée, à la suite de laquelle les mensualités fixées dans le contrat de leasing n'ont plus été réglées et que le solde desdits mensualités s'élevait à 1'613'642 fr. 47 TTC. Ce montant correspond au dommage subi par l'intimée et est supérieur à la somme requise en poursuite. C'est dès lors à bon droit que le Tribunal a prononcé la mainlevée provisoire.</w:t>
      </w:r>
    </w:p>
    <w:p>
      <w:r>
        <w:t>- 8/9 -</w:t>
      </w:r>
    </w:p>
    <w:p>
      <w:r>
        <w:t>C/3494/2023 La recourante soutient que la créance, objet de la poursuite, devrait faire l'objet d'une procédure de poursuite en prestation de sûretés et non d'une poursuite ordinaire. Ce grief ne porte pas. En effet, la procédure est la même que celle de la poursuite tendant au paiement d'une somme d'argent, sauf la circonstance que la continuation de la poursuite a lieu exclusivement par voie de saisie. Par ailleurs, le porte-fort ne constitue pas une sûreté au sens de l'art. 38 LP, dès lors que le promettant doit réparer le dommage subi par le bénéficiaire.</w:t>
      </w:r>
    </w:p>
    <w:p>
      <w:r>
        <w:rPr>
          <w:b/>
        </w:rPr>
        <w:t>E. 2.3</w:t>
      </w:r>
    </w:p>
    <w:p>
      <w:r>
        <w:t>Entièrement infondé, le recours sera rejeté. 3. 3.1 Les frais judicaires du recours, y compris la décision sur effet suspensif, seront arrêtés à 1'325 fr. (art. 48 et 61 OELP) seront mis à la charge du recourant, qui succombe (art. 106 al. 1 CPC), et compensés avec l'avance fournie par lui, qui reste acquise à l'Etat de Genève (art. 111 al. 1 CPC). 3.2 Au regard de la complexité de la cause, des griefs invoqués par le recourant ainsi que de l'ampleur de l'activité nécessaire de l'intimée, le recourant sera condamné à verser à l'intimée la somme de 1'500 fr. à titre de dépens de recours, débours et TVA compris, (art. 84, 85, 88 et 90 RTFMC; art. 23, 25 et 26 LaCC). * * * * *</w:t>
      </w:r>
    </w:p>
    <w:p>
      <w:r>
        <w:t>- 9/9 -</w:t>
      </w:r>
    </w:p>
    <w:p>
      <w:r>
        <w:t>C/3494/2023 PAR CES MOTIFS, La Chambre civile : A la forme : Déclare recevable le recours interjeté le 24 juillet 2023 par A______ contre le jugement JTPI/7936/2023 rendu le 4 juillet 2023 par le Tribunal de première instance dans la cause C/3494/2023–13 SML. Au fond : Le rejette. Déboute les parties de toutes autres conclusions. Sur les frais : Arrête les frais judiciaires du recours à 1'325 fr., compensés avec l'avance de frais fournie, acquise à l'Etat de Genève, et les met à la charge de A______. Condamne A______ à verser à B______ AG 1'500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ce que celui-ci doit établir en principe par titre (cf. art. 254 al. 1 CPC). Il n'a pas à apporter la preuve absolue (ou stricte) de ses moyens libératoires, mais seulement à les rendre vraisemblables</w:t>
      </w:r>
    </w:p>
    <w:p>
      <w:r>
        <w:t>- 6/9 -</w:t>
      </w:r>
    </w:p>
    <w:p>
      <w:r>
        <w:t>C/3494/2023 (ATF 142 III 720 consid. 4.1; 132 III 140 consid. 4.1.2; arrêt du Tribunal fédéral 5A_203/2017 du 11 septembre 2017 consid. 6.2). 2.1.3 Celui qui se porte-fort promet au stipulant le fait d'un tiers et s'engage à lui payer des dommages-intérêts si ce tiers ne s'exécute pas (art. 111 CO). Selon la jurisprudence et la doctrine majoritaire, le porte-fort - par lequel une personne « promet à autrui le fait d'un tiers » et s'engage à verser « des dommages-intérêts pour cause d'inexécution de la part de ce tiers » (art. 111 CO) - est en principe une obligation indépendante (ATF 138 III 241 consid. 3.2; arrêt du Tribunal fédéral 4A_311/2022/4A_313/2022 du 8 août 2023 consid. 5.6; GAUCH et ALII, Schweizerisches Obligationenrecht, Allgemeiner Teil [OR AT], vol. II, 11e éd. 2020, n. 3935; TEVINI, Commentaire romand, CO I, n. 3 ad art. 111 CO; PESTALOZZI, Basler Kommentar Obligationenrecht I, n. 1 ad art. 111 CO; ENGEL, Traité des obligations en droit suisse, 2. éd. 1997, p. 430; SCYBOZ, Garantievertrag und Bürgschaft, in: Schweizerisches Privatrecht, Bd. VII/2, Basel 1979, n. 13). Selon l'art. 111 CO, sauf convention contraire, le promettant n'est pas tenu de réaliser le fait promis. Son obligation consiste à réparer le dommage que le bénéficiaire subit du fait que le tiers n'a pas eu un comportement conforme à la promesse. Le dommage à réparer consiste dans la différence entre la situation patrimoniale du bénéficiaire telle qu'elle est, et telle qu'elle serait si le tiers avait eu le comportement promis (arrêt du Tribunal fédéral 4A_450/2019/4A_460/2019 du 18 mai 2020 consid. 4.2.1) Le dommage peut, par exemple, correspondre au solde de la somme due par le débiteur principal (ABBET/VEUILLET, La mainlevée de l'opposition, 2ème éd. 2022, n. 206 ad art. 82 LP; KRAUSKOPF, La mainlevée provisoire : quelques jurisprudences récentes, in JdT 2008 pp. 23ss, p. 40). La garantie est, en principe, exigible dès que la prestation du tiers n'est pas effectuée au moment convenu (ATF 131 III 606 consid. 4.2.2 et les références citées). La promesse de porte-fort (art. 111 CO) vaut titre de mainlevée provisoire dans la poursuite introduite contre le garant si le poursuivant établit par titre l'existence et le montant du dommage que lui a causé l'inexécution de la prétention garantie (arrêt du Tribunal fédéral 5A_113/2021 du 12 juillet 2023 consid. 2.1; STAEHELIN, Basler Kommentar, Bundesgesetz über Schuldbetreibungs- und Konkurs, vol. I, 3e éd., 2021, n. 137 ad art. 82 LP, ABBET/VEUILLET, op. cit., n. 206 ad art. 82 LP, KRAUSKOPF, La mainlevée provisoire : quelques jurisprudences récentes, in JdT 2008 pp. 23ss, p. 40; contra : GILLIERON, Commentaire I LP, 1999, n. 55 ad art. 82 LP qui retient que le garant doit avoir reconnu les dommages-intérêts ou que ceux-ci doivent avoir été fixés par un jugement qui lui est opposable).</w:t>
      </w:r>
    </w:p>
    <w:p>
      <w:r>
        <w:t>- 7/9 -</w:t>
      </w:r>
    </w:p>
    <w:p>
      <w:r>
        <w:t>C/3494/2023 2.1.4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129 III 193 consid. 2.2; 110 III 1 consid. 2b et les références). La poursuite en prestation de sûretés (art. 38 al. 1 LP)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129 III 193 consid. 2.1 et les références; arrêt du Tribunal fédéral 5A_60/2012 du 13 juillet 2012 consid. 4.1). La prétention en prestation de sûretés peut avoir pour fondement la loi, une décision judiciaire ou encore un contrat (ACOCELLA, in Basler Kommentar, Bundesgesetz über Schuldbetreibung und Konkurs I, 2ème éd., 2010, n. 15 ad art. 38 LP; AMONN/WAHLTER, Grundriss des Schuldbetreibungs- und Konkursrechts, 8ème éd., 2008, n. 6 p. 72; GILLIERON, op. cit., n.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