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ACJC/1441/2020 vom 6. Juli 2020</w:t>
      </w:r>
    </w:p>
    <w:p>
      <w:r>
        <w:t>GE Cour de justice, 2020-07-06, FR</w:t>
      </w:r>
    </w:p>
    <w:p>
      <w:r>
        <w:rPr>
          <w:b/>
        </w:rPr>
        <w:t xml:space="preserve">Quelle: </w:t>
      </w:r>
      <w:r>
        <w:t>https://mcp.opencaselaw.ch/entscheid/ge_gerichte_ACJC_1441_2020</w:t>
      </w:r>
    </w:p>
    <w:p>
      <w:r>
        <w:t>FR: GE_GERICHTE ACJC/1441/2020 du 6 juillet 2020</w:t>
      </w:r>
    </w:p>
    <w:p>
      <w:r>
        <w:t>IT: GE_GERICHTE ACJC/1441/2020 del 6 luglio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w:t>
      </w:r>
    </w:p>
    <w:p>
      <w:r>
        <w:rPr>
          <w:b/>
        </w:rPr>
        <w:t>E. 1.3</w:t>
      </w:r>
    </w:p>
    <w:p>
      <w:r>
        <w:t>Selon l'art. 326 al. 1 CPC, les conclusions, les allégations de faits et les preuves nouvelles sont irrecevables.</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juin 2020 et aucune violation du droit d'être entendu de ce dernier ne peut être retenue. Pour le surplus, le Tribunal n'a pas déclaré irrecevables les titres produits avec la réponse, dont il a fait état dans son jugement. Ceux-ci sont en effet recevables et font partie de la procédure.</w:t>
      </w:r>
    </w:p>
    <w:p>
      <w:r>
        <w:rPr>
          <w:b/>
        </w:rPr>
        <w:t>E. 2.1.1</w:t>
      </w:r>
    </w:p>
    <w:p>
      <w:r>
        <w:t>Selon les règles ordinaires de la procédure sommaire, applicable en l'espèce (art. 251 let. a CPC), le Tribunal donne au cité l'occasion de se déterminer oralement ou par écrit (art. 253 CPC). Le Tribunal peut opter pour une procédure orale avec ou sans détermination écrite ou pour une procédure purement écrite (JENT-SØRENSEN, Schweizerische Zivilprozessordnung, Kurzkommentar, 2014, n. 2 et 4 ad art. 253 CPC). Le défendeur n'a pas le choix entre l'un ou l'autre des modes de détermination. Il appartient exclusivement au Tribunal, faisant usage de son pouvoir d'appréciation, de définir le mode de détermination de la partie citée (KAUFMANN, DIKE-Komm- ZPO, Brunner/Gasser/Schwander [éd.], 2ème éd., 2016, n. 19 ad art. 253 CPC; KLINGLER, Kommentar zur Schweizerischen Zivilprozessordnung, Sutter- Somm/Hasenböhler/Leuenberger [éd.], 3ème éd., 2016, n. 1 ad art. 253 CPC). Ainsi, le droit d'être entendu d'une partie n'est pas violé lorsque le juge lui donne la possibilité de se déterminer oralement lors d'une audience et refuse d'accepter une détermination écrite spontanée. L'avis de doctrine isolé de BOHNET (Commentaire romand, Code de procédure civile, 2ème éd. 2019, n. 2 ad art. 253 CPC), selon lequel le juge doit accepter toute écriture des parties présentée même lors de l'audience, ne peut être suivi (arrêt du Tribunal fédéral 5A_403/2014 du 19 août 2014 consid. 4.2.1).</w:t>
      </w:r>
    </w:p>
    <w:p>
      <w:r>
        <w:rPr>
          <w:b/>
        </w:rPr>
        <w:t>E. 2.1.2</w:t>
      </w:r>
    </w:p>
    <w:p>
      <w:r>
        <w:t>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 ci contienne ou non de nouveaux éléments de fait ou de droit, et qu'elle soit ou non concrètement susceptible d'influer sur le jugement à rendre (ATF 142 III 48 consid. 4.1.1 et les références).</w:t>
      </w:r>
    </w:p>
    <w:p>
      <w:r>
        <w:rPr>
          <w:b/>
        </w:rPr>
        <w:t>E. 2.2</w:t>
      </w:r>
    </w:p>
    <w:p>
      <w:r>
        <w:t>En l'espèce, le Tribunal a transmis au recourant la requête formée par l'intimé et l'a convoqué à une audience de comparution des parties, sans l'inviter à se déterminer par écrit, démontrant ainsi avoir opté pour une procédure orale. Le recourant, qui était assistée d'un agent d'affaires breveté, devait dès lors nécessairement comprendre que la procédure était orale et qu'il lui incombait en conséquence de présenter ses arguments oralement à l'audience du 28 juin 2019. Le recourant ne s'est pas présenté à ladite audience, ni ne s'est fait représenter. Il ne se prévaut d'aucun motif justifiant son absence à l'audience. Le recourant a ainsi délibérément renoncé à être entendu lors de ladite audience, alors qu'il avait été dûment cité à comparaître à celle-ci.</w:t>
      </w:r>
    </w:p>
    <w:p>
      <w:r>
        <w:t>- 6/8 -</w:t>
      </w:r>
    </w:p>
    <w:p>
      <w:r>
        <w:t>C/29720/2019 Partant, dans la mesure où l'art. 253 CPC laisse au juge la possibilité de choisir que la procédure se déroule oralement et où le Tribunal avait cité le recourant à comparaître à son audience du 4 juin 2020, il ne peut lui être reproché de ne pas avoir tenu compte de l'écriture spontanée déposée par le recourant, dûment informée de son droit de se déterminer lors de l'audience précitée. C'est dès lors à bon droit que le Tribunal a déclaré irrecevable la réponse écrite du recourant du</w:t>
      </w:r>
    </w:p>
    <w:p>
      <w:r>
        <w:rPr>
          <w:b/>
        </w:rPr>
        <w:t>E. 3</w:t>
      </w:r>
    </w:p>
    <w:p>
      <w:r>
        <w:t>Le recourant reproche au Tribunal d'avoir prononcé la mainlevée provisoire de l'opposition au motif qu'il n'a jamais reçu le montant du prêt, qui a été versé à la société E______ LTD. C'est dès lors contre cette dernière que l'intimé aurait dû agir.</w:t>
      </w:r>
    </w:p>
    <w:p>
      <w:r>
        <w:rPr>
          <w:b/>
        </w:rPr>
        <w:t>E. 3.1</w:t>
      </w:r>
    </w:p>
    <w:p>
      <w:r>
        <w:t>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 4.1.1 et les références).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 Le prononcé de mainlevée ne sortit que des effets de droit des poursuites et la décision du juge de la mainlevée provisoire ne prive pas les parties du droit de soumettre à nouveau la question litigieuse au juge ordinaire (ATF 136 III 528 consid. 3.2; arrêt 5A_577/2013 du 7 octobre 2013 consid. 4.1). 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échue (ATF 139 III 297</w:t>
      </w:r>
    </w:p>
    <w:p>
      <w:r>
        <w:t>- 7/8 -</w:t>
      </w:r>
    </w:p>
    <w:p>
      <w:r>
        <w:t>C/29720/2019 consid. 2.3.1; 136 III 624 consid. 4.2.2; 136 III 627 consid. 2). Une reconnaissance de dette peut résulter d'un ensemble de pièces dans la mesure où il en ressort les éléments nécessaires; cela signifie que le document signé doit clairement faire référence ou renvoyer aux données qui mentionnent le montant de la dette ou permettent de la chiffrer (ATF 139 précité; 132 III 480 consid. 4.1).</w:t>
      </w:r>
    </w:p>
    <w:p>
      <w:r>
        <w:rPr>
          <w:b/>
        </w:rPr>
        <w:t>E. 3.2</w:t>
      </w:r>
    </w:p>
    <w:p>
      <w:r>
        <w:t>En l'espèce, le recourant a signé une reconnaissance de dette le 15 juin 2018 par laquelle il reconnaît devoir à l'intimé la somme de 150'000 fr. reçue en prêt qu'il s'engage à rembourser d'ici au 30 juin 2018. Il ressort certes des pièces produites par le recourant que l'intimé a attesté le même jour avoir effectué un prêt à la société E______ LTD d'un même montant de 150'000 fr., que ledit montant a été versé sur le compte de cette société et que celle-ci a procédé à un versement de 50'000 fr. le 14 septembre 2018 dont l'intimé a tenu compte en réduisant le montant réclamé au recourant. Cela étant, il n'en reste pas moins que le recourant a reconnu devoir la somme de 150'000 fr. à l'intimé et qu'il n'a pas été allégué qu'il n'avait pas reçu cette somme ni qu'il l'avait remboursée au-delà du montant réclamé par l'intimé. La question des rapports entre le recourant et la société E______ LTD et des motifs pour lesquels le recourant a reconnu devoir à l'intimé une somme qui ne lui aurait, par hypothèse, pas été prêtée, mais qui l'aurait été à la société précitée, dépasse l'examen auquel doit procéder le juge de la mainlevée qui doit se limiter à constater l'existence d'un titre exécutoire, à savoir, en l'occurrence, la reconnaissance de dette signée par l'intimé. Dans ces circonstances, le recours n'est pas fondé, de sorte qu'il sera rejeté.</w:t>
      </w:r>
    </w:p>
    <w:p>
      <w:r>
        <w:rPr>
          <w:b/>
        </w:rPr>
        <w:t>E. 4</w:t>
      </w:r>
    </w:p>
    <w:p>
      <w:r>
        <w:t>Le recourant, qui succombe, sera condamné aux frais judiciaires du recours (art. 106 al. 1 CPC), arrêtés à 600 fr. (art. 48 et 61 OELP) et compensés avec l'avance fournie, qui reste acquise à l'Etat de Genève (art. 111 al. 1 CPC).</w:t>
      </w:r>
    </w:p>
    <w:p>
      <w:r>
        <w:t>Le recourant sera par ailleurs condamné à verser à l'intimé la somme de 500 fr. à titre de dépens de recours, débours et TVA compris (art. 21, 25 et 26 LaCC; art. 85, 89, 90 RTFMC). * * * * *</w:t>
      </w:r>
    </w:p>
    <w:p>
      <w:r>
        <w:t>- 8/8 -</w:t>
      </w:r>
    </w:p>
    <w:p>
      <w:r>
        <w:t>C/29720/2019 PAR CES MOTIFS, La Chambre civile : A la forme : Déclare recevable le recours interjeté le 14 juillet 2020 par A______ contre le jugement JTPI/8740/2020 rendu le 6 juillet 2020 par le Tribunal de première instance dans la cause C/29720/2019-3 SML. Au fond : Rejette ce recours. Déboute les parties de toutes autres conclusions. Sur les frais : Arrête les frais judiciaires de recours à 600 fr., les met à la charge de A______ et dit qu'ils sont compensés avec l'avance fournie, qui reste acquise à l'Etat de Genève. Condamne A______ à verser la somme de 500 fr. à B______ à titre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