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ACJC/1440/2022 vom 7. November 2022</w:t>
      </w:r>
    </w:p>
    <w:p>
      <w:r>
        <w:t>GE Cour de justice, 2022-11-07, FR</w:t>
      </w:r>
    </w:p>
    <w:p>
      <w:r>
        <w:rPr>
          <w:b/>
        </w:rPr>
        <w:t xml:space="preserve">Quelle: </w:t>
      </w:r>
      <w:r>
        <w:t>https://mcp.opencaselaw.ch/entscheid/ge_gerichte_ACJC_1440_2022</w:t>
      </w:r>
    </w:p>
    <w:p>
      <w:r>
        <w:t>FR: GE_GERICHTE ACJC/1440/2022 du 7 novembre 2022</w:t>
      </w:r>
    </w:p>
    <w:p>
      <w:r>
        <w:t>IT: GE_GERICHTE ACJC/1440/2022 del 7 novembre 2022</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de première instance, est supérieure à 10'000 fr. (art. 308 al. 2 CPC).</w:t>
      </w:r>
    </w:p>
    <w:p>
      <w:r>
        <w:t>- 5/9 -</w:t>
      </w:r>
    </w:p>
    <w:p>
      <w:r>
        <w:t>C/24388/2021 En l'espèce, le litige porte sur les contributions à l'entretien de l'épouse et d'un enfant mineur. La valeur litigieuse, calculée conformément à l'art. 92 CPC, dépasse les 10'000 fr., de sorte que la voie de l'appel est ouverte. Interjeté dans le délai de dix jours (art. 142 al. 3 et 314 al. 1 CPC) et selon la forme prescrite par la loi (art. 311 CPC), l'appel est recevable.</w:t>
      </w:r>
    </w:p>
    <w:p>
      <w:r>
        <w:rPr>
          <w:b/>
        </w:rPr>
        <w:t>E. 1.2</w:t>
      </w:r>
    </w:p>
    <w:p>
      <w:r>
        <w:t>La Cour revoit la cause avec un plein pouvoir d'examen (art. 310 CPC). Les maximes d'office et inquisitoire illimitée sont applicables aux questions concernant l'enfant mineur (art. 55 al. 2, 58 al. 2 et art. 296 CPC), ce qui a pour conséquence que la Cour n'est pas liée par les conclusions des parties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 Les maximes inquisitoire simple (art. 272 CPC) et de disposition (art. 58 al. 1 CPC) sont applicables en ce qui concerne la contribution à l'entretien de l'épouse.</w:t>
      </w:r>
    </w:p>
    <w:p>
      <w:r>
        <w:rPr>
          <w:b/>
        </w:rPr>
        <w:t>E. 1.3</w:t>
      </w:r>
    </w:p>
    <w:p>
      <w:r>
        <w:t>En raison de la nationalité étrangère de l'intimée, la cause présente un élément d'extranéité. A juste titre les parties ne contestent ni la compétence des autorités judiciaires genevoises, ni l'application du droit suisse (art. 59 et art. 62 al. 1 et al. 2 LDIP).</w:t>
      </w:r>
    </w:p>
    <w:p>
      <w:r>
        <w:rPr>
          <w:b/>
        </w:rPr>
        <w:t>E. 1.4</w:t>
      </w:r>
    </w:p>
    <w:p>
      <w:r>
        <w:t>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et ce jusqu'aux délibérations lesquelles débutent dès que</w:t>
      </w:r>
    </w:p>
    <w:p>
      <w:r>
        <w:t>- 6/9 -</w:t>
      </w:r>
    </w:p>
    <w:p>
      <w:r>
        <w:t>C/24388/2021 l'autorité d'appel a communiqué aux parties que la cause a été gardée à juger (ATF 142 III 413 consid. 2.2.5 et 2.2.6 in JdT 2017 II p. 153 ss; arrêt du Tribunal fédéral 5A_364/2020 du 14 juin 2021 consid. 8.1).</w:t>
      </w:r>
    </w:p>
    <w:p>
      <w:r>
        <w:rPr>
          <w:b/>
        </w:rPr>
        <w:t>E. 2.2</w:t>
      </w:r>
    </w:p>
    <w:p>
      <w:r>
        <w:t>En l'espèce, la pièce nouvelle produite par l'intimée à l'appui de son mémoire réponse est recevable, quand bien même elle est sans pertinence pour l'issue du litige.</w:t>
      </w:r>
    </w:p>
    <w:p>
      <w:r>
        <w:rPr>
          <w:b/>
        </w:rPr>
        <w:t>E. 3</w:t>
      </w:r>
    </w:p>
    <w:p>
      <w:r>
        <w:t>La situation des parties est actuellement régie par le jugement du Tribunal rendu sur mesures protectrices de l'union conjugale le 18 novembre 2015. 3.1.1 Saisi d'une requête commune ou d'une demande unilatérale tendant au divorce (art. 274 CPC), le tribunal ordonne les mesures provisionnelles nécessaires, en appliquant par analogie les dispositions régissant la protection de l'union conjugale (art. 276 al. 1 CPC).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(ATF 137 III 614 consid. 3.2.2; arrêt du Tribunal fédéral 5A_436/2020 du 5 février 2021 consid. 4.1). Aux termes de l'art. 179 al. 1, 1ère phrase CC, le juge prononce les modifications commandées par les faits nouveaux et rapporte les mesures prises lorsque les causes qui les ont déterminées n'existent plus. Après l'introduction de l'action en divorce, les époux peuvent solliciter la modification de mesures protectrices de l'union conjugale si, depuis l'entrée en vigueur de celles-ci,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arrêt du Tribunal fédéral 5A_611/2019 du 29 avril 2020 consid. 4.1). La procédure de modification n'a cependant pas pour but de corriger le premier jugement, mais de l'adapter aux circonstances nouvelles (ATF 137 III 604 consid. 4.1.1; arrêt du Tribunal fédéral 5A_611/2019 précité). Le moment déterminant pour apprécier si des circonstances nouvelles se sont produites est la date du dépôt de la demande de modification (ATF 137 III 604 consid. 4.1.1; arrêts du Tribunal fédéral 5A_253/2020 du 25 mars 2021 consid. 3.1.1; 5A_611/2019 précité).</w:t>
      </w:r>
    </w:p>
    <w:p>
      <w:r>
        <w:t>- 7/9 -</w:t>
      </w:r>
    </w:p>
    <w:p>
      <w:r>
        <w:t>C/24388/2021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 3.1.2 Pour fixer la contribution d'entretien, le juge doit en principe tenir compte du revenu effectif des parties (ATF 137 III 118 consid. 2.3; 137 III 102 consid. 4.2.2.2; arrêt du Tribunal fédéral 5A_876/2016 du 19 juin 2017 consid. 3.1.2). Le juge peut néanmoins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3.1.3 Les dépenses reconnues comprennent : (…) les contributions d'entretien versées en vertu du droit de la famille (art. 9 al. 1 let. i de la loi fédérale sur les prestations transitoires pour les chômeurs âgés - LPtra). 3.2.1 En l'espèce, l'appelant fait en premier lieu grief au Tribunal d'avoir considéré qu'il était pris en charge par l'Hospice général, alors que tel n'était plus le cas, puisqu'il avait été mis au bénéfice de prestations complémentaires transitoires. Il ressort toutefois du dossier que l'appelant, qui a déposé sa demande en divorce et ses conclusions sur mesures provisionnelles le 13 décembre 2021, n'a pas informé le Tribunal de ce qu'il avait déposé, apparemment le 1er novembre 2021, une demande visant à obtenir des prestations complémentaires transitoires. Ce n'est que dans son bordereau de pièces du 20 mai 2022, soit postérieurement à la date à laquelle la cause a été gardée à juger sur mesures provisionnelles par le Tribunal, que l'appelant a produit la décision du 10 mars 2022 du Service des prestations complémentaires, ainsi que deux décomptes y relatifs et ce n'est que devant la Cour que l'appelant a mentionné le faitqu'il avait été mis au bénéfice de telles prestations. Le premier juge ne pouvait par conséquent, dans l'ordonnance attaquée, tenir compte d'un élément que l'appelant lui-même n'avait pas même évoqué. 3.2.2 Pour le surplus, il appartenait à l'appelant, qui sollicitait, sur mesures provisionnelles, la suppression de la contribution d'entretien due en faveur de son fils mineur et de son épouse, de rendre vraisemblable que sa situation s'était modifiée de manière importante et durable.</w:t>
      </w:r>
    </w:p>
    <w:p>
      <w:r>
        <w:t>- 8/9 -</w:t>
      </w:r>
    </w:p>
    <w:p>
      <w:r>
        <w:t>C/24388/2021 S'il est certes établi que l'appelant a été licencié à la fin de l'année 2018, ce dernier n'a produit aucune pièce utile permettant de retenir qu'il aurait, après la perte de son emploi, déployé les efforts qui pouvaient raisonnablement être exigés de lui pour en trouver un nouveau, alors qu'il n'ignorait rien de ses obligations d'entretien à l'égard de son épouse et de ses enfants. Le simple fait qu'il soit désormais âgé de 62 ans ne permet pas de retenir que toute recherche d'un emploi aurait été, a priori, vouée à l'échec. 3.2.3 Il résulte pour le surplus des explications fournies par l'appelant devant la Cour qu'il a été mis au bénéfice, par décision du 10 mars 2022, mais avec effet au 1er novembre 2021, de prestations complémentaires, lesquelles s'élèvent à 2'950 fr. par mois. Or, dans son appel, il a fait état de charges de 2'728 fr. par mois. Dès lors, le montant des prestations complémentaires permet à l'appelant, après couverture de ses propres frais, de bénéficier d'un solde disponible supérieur à 200 fr. qu'il pourrait affecter au paiement d'une partie des contributions d'entretien mises à sa charge. Par ailleurs, l'appelant n'a pas rendu vraisemblable que les contributions d'entretien dues en faveur de son épouse et de son fils encore mineur ne pourraient pas être comprises dans les prestations complémentaires transitoires qu'il perçoit, alors que l'art. 9 al. 1 let. i LPtra inclut dans les « dépenses reconnues », les contributions d'entretien versées en vertu du droit de la famille. Le fait que les décomptes du Service des prestations complémentaires ne mentionnent pas les contributions d'entretien mises à la charge de l'appelant résulte vraisemblablement du fait qu'il n'en a pas fait état, ce qui peut lui être reproché à faute. Au vu de ce qui précède, l'ordonnance attaquée sera confirmée.</w:t>
      </w:r>
    </w:p>
    <w:p>
      <w:r>
        <w:rPr>
          <w:b/>
        </w:rPr>
        <w:t>E. 4</w:t>
      </w:r>
    </w:p>
    <w:p>
      <w:r>
        <w:t>Les frais de la procédure d'appel seront arrêtés à 1'000 fr. (art. 31 et 37 RTFMC) et mis à la charge de l'appelant, qui succombe. Ils seront provisoirement pris en charge par l'Etat de Genève, compte tenu du bénéfice de l'assistance judiciaire. Il ne sera pas alloué de dépens vu la nature familiale du litige (art. 107 al. 1 let. c CPC).</w:t>
      </w:r>
    </w:p>
    <w:p>
      <w:r>
        <w:t>* * * * *</w:t>
      </w:r>
    </w:p>
    <w:p>
      <w:r>
        <w:t>- 9/9 -</w:t>
      </w:r>
    </w:p>
    <w:p>
      <w:r>
        <w:t>C/24388/2021 PAR CES MOTIFS, La Chambre civile : A la forme : Déclare recevable l'appel interjeté par A______ contre l'ordonnance OTPI/427/2022 du 27 juin 2022 rendue par le Tribunal de première instance dans la cause C/24388/2021. Au fond : La confirme. Déboute les parties de toutes autres conclusions. Sur les frais : Arrête les frais judiciaires de la procédure d'appel à 1'000 fr., les met à la charge de A______ et dit qu'ils sont provisoirement assumés par l'Etat de Genève. Dit qu'il n'est pas alloué de dépens. Siégeant : Monsieur Cédric-Laurent MICHEL, Président; Madame Pauline ERARD et Madame Paola CAMPOMAGNANI, juges; Madame Sandra CARRIER, greffière. 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