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ACJC/143/2018 vom 2. Februar 2018</w:t>
      </w:r>
    </w:p>
    <w:p>
      <w:r>
        <w:t>GE Cour de justice, 2018-02-02, FR</w:t>
      </w:r>
    </w:p>
    <w:p>
      <w:r>
        <w:rPr>
          <w:b/>
        </w:rPr>
        <w:t xml:space="preserve">Quelle: </w:t>
      </w:r>
      <w:r>
        <w:t>https://mcp.opencaselaw.ch/entscheid/ge_gerichte_ACJC_143_2018</w:t>
      </w:r>
    </w:p>
    <w:p>
      <w:r>
        <w:t>FR: GE_GERICHTE ACJC/143/2018 du 2 février 2018</w:t>
      </w:r>
    </w:p>
    <w:p>
      <w:r>
        <w:t>IT: GE_GERICHTE ACJC/143/2018 del 2 febbraio 2018</w:t>
      </w:r>
    </w:p>
    <w:p>
      <w:pPr>
        <w:pStyle w:val="Heading2"/>
      </w:pPr>
      <w:r>
        <w:t>Erwägungen</w:t>
      </w:r>
    </w:p>
    <w:p>
      <w:r>
        <w:rPr>
          <w:b/>
        </w:rPr>
        <w:t>E. 1.1</w:t>
      </w:r>
    </w:p>
    <w:p>
      <w:r>
        <w:t>La décision interprétée peut faire l'objet d'un recours (art. 334 al. 3 CPC). Selon la jurisprudence, le jugement rectificatif fait courir un nouveau délai de recours, mais uniquement pour les points concernés par la rectification, à l'exclusion des moyens que les parties auraient pu et dû invoquer à l'encontre du premier arrêt (cf. ATF 137 III 86 consid. 1.2; 131 III 164 consid. 1.2.3; 119 II 482 consid. 3 et 117 II 508 consid. 1a; arrêts du Tribunal fédéral 4A_474/2012 du 8 février 2013 consid. 2 et 4A_731/2012 du 21 mai 2013 consid. 1). Aux termes de l'art. 321 al. 1 et 2 CPC, le recours, écrit et motivé, doit être introduit auprès de l'instance de recours dans les dix jours à compter de la notification de la décision motivée, pour les décisions prises en procédure sommaire. Interjeté selon la forme et le délai prescrits,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w:t>
      </w:r>
    </w:p>
    <w:p>
      <w:r>
        <w:t>L'autorité de recours n'est pas liée par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(HOHL/DE PORET BORTOLASO/AGUET, op. cit., n. 2513-2515).</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2</w:t>
      </w:r>
    </w:p>
    <w:p>
      <w:r>
        <w:t>La recourante reproche en premier lieu au Tribunal d'avoir admis à la procédure toutes les pièces versées tardivement par l'intimé dans la présente procédure en</w:t>
      </w:r>
    </w:p>
    <w:p>
      <w:r>
        <w:t>- 7/12 -</w:t>
      </w:r>
    </w:p>
    <w:p>
      <w:r>
        <w:t>C/16013/2015 interprétation. Elle requiert également que les pièces produites en langue anglaise soient déclarées irrecevables.</w:t>
      </w:r>
    </w:p>
    <w:p>
      <w:r>
        <w:rPr>
          <w:b/>
        </w:rPr>
        <w:t>E. 2.1</w:t>
      </w:r>
    </w:p>
    <w:p>
      <w:r>
        <w:t>A teneur de l'art. 321 al. 1 CPC, il incombe au recourant de motiver son recours, c'est-à-dire de démontrer le caractère erroné de la motivation attaquée (ATF 138 III 374 consid. 4.3.1).</w:t>
      </w:r>
    </w:p>
    <w:p>
      <w:r>
        <w:t>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w:t>
      </w:r>
    </w:p>
    <w:p>
      <w:r>
        <w:t>En l'espèce, l'acte de recours ne comporte aucune motivation ni aucune critique détaillée concernant l'admission à la procédure des pièces en langue anglaise. Ce grief est dès lors irrecevable.</w:t>
      </w:r>
    </w:p>
    <w:p>
      <w:r>
        <w:rPr>
          <w:b/>
        </w:rPr>
        <w:t>E. 2.2</w:t>
      </w:r>
    </w:p>
    <w:p>
      <w:r>
        <w:t>L'art. 334 CPC ne traite pas de la production des pièces nouvelles dans la procédure d'interprétation. Les parties soutiennent pour leur part que l'art. 317 CPC s'applique à la procédure d'interprétation.</w:t>
      </w:r>
    </w:p>
    <w:p>
      <w:r>
        <w:rPr>
          <w:b/>
        </w:rPr>
        <w:t>E. 2.2.1</w:t>
      </w:r>
    </w:p>
    <w:p>
      <w:r>
        <w:t>Selon la jurisprudence du Tribunal fédéral rendue en lien avec l'art. 129 LTF, dont le contenu est similaire à celui de l'art. 334 CPC, dans la mesure où les pièces produites par le demandeur en interprétation, à l'appui de sa demande, sont destinées à rendre vraisemblable la nécessité d'une interprétation (cf. arrêt du Tribunal fédéral 4C.86/2004 du 7 juillet 2004 consid. 1.4), elles sont en principe recevables (arrêt du Tribunal fédéral 5G_3/2017 du 5 septembre 2017 consid. 2).</w:t>
      </w:r>
    </w:p>
    <w:p>
      <w:r>
        <w:rPr>
          <w:b/>
        </w:rPr>
        <w:t>E. 2.2.2</w:t>
      </w:r>
    </w:p>
    <w:p>
      <w:r>
        <w:t>En l'espèce, l'intimé a produit devant le Tribunal d'une part les échanges de correspondances intervenus avec la banque à la suite de l'ordonnance rendue le 7 mars 2016, ainsi que des documents relatifs au compte rubrique 3______. Seule une partie des titres produits a pour but de justifier la demande d'interprétation. La recevabilité des pièces produites en première instance par l'intimé peut cependant demeurer indécise, compte tenu des développements qui vont suivre.</w:t>
      </w:r>
    </w:p>
    <w:p>
      <w:r>
        <w:rPr>
          <w:b/>
        </w:rPr>
        <w:t>E. 3</w:t>
      </w:r>
    </w:p>
    <w:p>
      <w:r>
        <w:t>La recourante fait grief au Tribunal d'avoir admis la requête en interprétation introduite par l'intimé. Elle lui reproche en particulier une appréciation arbitraire des faits en retenant que C______ SA aurait considéré qu'il allait de soi que la référence 1______ incluait tant le compte joint n° 1______ que le compte rubrique. Elle se prévaut pour le surplus d'une violation du droit, le Tribunal ayant</w:t>
      </w:r>
    </w:p>
    <w:p>
      <w:r>
        <w:t>- 8/12 -</w:t>
      </w:r>
    </w:p>
    <w:p>
      <w:r>
        <w:t>C/16013/2015 pris en considération des faits qui n'avaient pas été allégués dans la procédure de mesures provisionnelles.</w:t>
      </w:r>
    </w:p>
    <w:p>
      <w:r>
        <w:rPr>
          <w:b/>
        </w:rPr>
        <w:t>E. 3.1</w:t>
      </w:r>
    </w:p>
    <w:p>
      <w:r>
        <w:t>A partir du moment où il l'a prononcée, en vertu du principe de dessaisissement, le juge ne peut corriger sa décision, même s'il a le sentiment de s'être trompé. Une erreur de fait ou de droit ne peut être rectifiée que par les voies de recours (STERCHI, in Berner Kommentar, 2012, n. 2 ad art. 334 CPC; SCHWEIZER, in Code de procédure civile commenté, 2011, n. 1 ad art. 334 CPC).</w:t>
      </w:r>
    </w:p>
    <w:p>
      <w:r>
        <w:t>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L'alinéa 2 2ème phr. précise que, en cas d'erreurs d'écriture ou de calcul, le tribunal peut renoncer de demander aux parties de se déterminer.</w:t>
      </w:r>
    </w:p>
    <w:p>
      <w:r>
        <w:t>Le but de l'interprétation et de la rectification n'est pas de modifier la décision du tribunal, mais de la clarifier ou la rendre conforme avec le contenu réellement voulu par celui-ci (arrêt du Tribunal fédéral 5A_6/2016 du 15 septembre 2016 consid. 4.3.1; STERCHI, loc. cit.).</w:t>
      </w:r>
    </w:p>
    <w:p>
      <w:r>
        <w:t>L'art. 334 CPC règle la demande d'interprétation et de rectification d'une décision judiciaire. Une telle demande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(arrêts du Tribunal fédéral 5G_3/2015 du 2 novembre 2015 consid. 2.1; 5G_1/2014 du 14 mars 2014 consid. 3.1). L'interprétation a également pour but de rectifier des fautes de rédaction, de pures fautes de calcul ou des erreurs d'écriture que le dispositif contiendrait (arrêt du Tribunal fédéral 5G_3/2015 du 2 novembre 2015 et les références). Les considérants ne peuvent faire l'objet d'une interprétation que si et dans la mesure où il n'est possible de déterminer le sens du dispositif de la décision qu'en ayant recours aux motifs, partant, qu'ils participent de ce fait à l'ordre du juge (arrêt du Tribunal fédéral 5G_3/2017 du 5 septembre 2017 consid. 1; ATF 110 V 222 consid. 1).</w:t>
      </w:r>
    </w:p>
    <w:p>
      <w:r>
        <w:t>Le but de l'interprétation est de restituer à l'arrêt son véritable sens, mais non à le modifier. Ainsi, les demandes d'interprétation qui visent à la modification du contenu de la décision ou qui tendent à un nouvel examen de la cause ne sont pas recevables (FERRARI, Commentaire de la LTF 2e éd. 2014, n. 2 et 5 ad art. 129 LTF). Il n'est pas davantage admissible de provoquer, par la voie de la demande d'interprétation, une discussion d'ensemble sur la décision entrée en</w:t>
      </w:r>
    </w:p>
    <w:p>
      <w:r>
        <w:t>- 9/12 -</w:t>
      </w:r>
    </w:p>
    <w:p>
      <w:r>
        <w:t>C/16013/2015 force (relative, par exemple, à la conformité au droit ou à la pertinence de celle- ci), ayant pour objet tous les propos du tribunal, en particulier les notions juridiques et les mots utilisés. Seul est accessible à l'interprétation ce qui, du contenu de l'arrêt, présente le caractère d'une prescription. Tel n'est pas le cas, notamment, des questions que le tribunal n'avait pas à examiner et qu'il ne devait donc pas trancher (arrêts du Tribunal fédéral 2G_1/2014 du 1er mai 2014 consid. 3.2; 4G_1/2007 consid. 2.1; 4G_2/2009 du 21 octobre 2009 consid. 1.1; 2P.63/2001 du 10 juillet 2002, consid. 1.2; DONZALLAZ, Loi sur le Tribunal fédéral 2008, n. 4756 ad art. 129 LTF).</w:t>
      </w:r>
    </w:p>
    <w:p>
      <w:r>
        <w:t>L'intérêt à interprétation peut apparaître digne de protection lorsque l'exécution forcée a échoué, même partiellement (arrêt du Tribunal fédéral 5C.122/2002 du 7 octobre 2002 consid. 3.1, publié in Pra 2003 (94) p. 505; dans ce sens : cf. arrêt du Tribunal fédéral 4A_519/2015 du 4 février 2016 consid. 5). Néanmoins,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(arrêts du Tribunal fédéral 5A_533/2017 du 23 octobre 2017 consid. 4.3.2; 4G_4/2016 du 21 juin 2017 consid. 2.2, destiné à la publication aux ATF).</w:t>
      </w:r>
    </w:p>
    <w:p>
      <w:r>
        <w:t>La jurisprudence a récemment précisé que la voie de l'interprétation prévue par l'art. 334 CPC permet au juge de clarifier le contenu d'une décision peu claire en révélant quelle était sa volonté réelle initiale. Il s'ensuit que le juge peut renseigner sur le contenu réel d'une décision uniquement lorsqu'elle contient ses propres injonctions, qui sont le fruit de sa propre volonté (arrêts du Tribunal fédéral 5A_510/2016 du 31 août 2017 consid. 6.2, destiné à la publication; 4A_640/2016 du 25 septembre 2017 consid. 2.5).</w:t>
      </w:r>
    </w:p>
    <w:p>
      <w:r>
        <w:rPr>
          <w:b/>
        </w:rPr>
        <w:t>E. 3.2</w:t>
      </w:r>
    </w:p>
    <w:p>
      <w:r>
        <w:t>Dans la procédure de mesures provisionnelles, objet de l'ordonnance OTPI/120/2016, l'intimé ne s'était référé qu'au compte joint portant la référence 1______ et seuls les documents bancaires signés à la date de l'ouverture dudit compte ont été versés à la procédure. La recourante, requérante en mesures provisionnelles, a également fait la seule mention dudit compte joint. Dans l'ordonnance susmentionnée, le Tribunal a fait interdiction à C______ SA d'exécuter toute instruction, notamment de disposer et/ou grever tout avoir et/ou de procéder à tout paiement par le débit des comptes et avoirs dont feu D______ était le titulaire et/ou l'ayant droit économique, et ceci sous quelque forme et dénomination que ce soit, y compris tout compte joint sur lequel celui avait quelque droit que ce soit et dit qu'en ce qui concernait le compte joint n° 1______</w:t>
      </w:r>
    </w:p>
    <w:p>
      <w:r>
        <w:t>- 10/12 -</w:t>
      </w:r>
    </w:p>
    <w:p>
      <w:r>
        <w:t>C/16013/2015 dont feu D______ était le co-titulaire avec l'intimé, l'interdiction ne porterait que sur la moitié des avoirs en compte.</w:t>
      </w:r>
    </w:p>
    <w:p>
      <w:r>
        <w:t>La Cour retient que le dispositif de ladite décision est clair, complet et univoque. Il correspond par ailleurs aux considérants de celle-ci.</w:t>
      </w:r>
    </w:p>
    <w:p>
      <w:r>
        <w:t>La demande d'interprétation formée par l'intimé se fonde essentiellement sur le fait que la banque requise de libérer la moitié des fonds concernant le compte joint n° 1______ estimait que la décision du Tribunal était "peu claire". Il ressort toutefois des pièces versées à la procédure que s'il existe une seule relation de clientèle concernant l'ensemble des avoirs inscrits sous référence 1______, les comptes N° 2______ et N° 4______ sont deux comptes joints distincts, ouverts à des dates différentes, et comportant des numéros de comptes spécifiques.</w:t>
      </w:r>
    </w:p>
    <w:p>
      <w:r>
        <w:t>Ce faisant, l'intimé, demandeur en interprétation, a sollicité du Tribunal une modification du contenu de la décision que ce dernier avait rendue, en examinant à nouveau la cause en prenant en considération un second compte joint, lequel n'avait non seulement pas été allégué par les parties, mais encore sur la base de pièces en relation avec ledit compte, non versées à la procédure de mesures provisionnelles. Une telle demande d'interprétation n'est, à teneur de la jurisprudence rappelée ci-avant, pas recevable. Le dispositif de l'ordonnance sur mesures provisionnelles reflète ainsi la volonté réelle du Tribunal lorsqu'il a rendu sa décision, en se fondant sur les allégués, les déclarations et les pièces des parties. L'absence éventuelle de degré de précision nécessaire pour qu'une exécution forcée aboutisse ne peut pas être modifiée, par une demande en interprétation.</w:t>
      </w:r>
    </w:p>
    <w:p>
      <w:r>
        <w:t>Il s'ensuit que le recours est fondé.</w:t>
      </w:r>
    </w:p>
    <w:p>
      <w:r>
        <w:rPr>
          <w:b/>
        </w:rPr>
        <w:t>E. 3.3</w:t>
      </w:r>
    </w:p>
    <w:p>
      <w:r>
        <w:t>L'affaire étant en l'état d'être jugée, l'ordonnance entreprise sera annulée et il sera statué à nouveau (art. 327 al. 3 let. b CPC), dans le sens que la demande en interprétation de l'intimé du 13 juin 2017 est rejetée.</w:t>
      </w:r>
    </w:p>
    <w:p>
      <w:r>
        <w:rPr>
          <w:b/>
        </w:rPr>
        <w:t>E. 4</w:t>
      </w:r>
    </w:p>
    <w:p>
      <w:r>
        <w:t>L'intimé, qui succombe, sera condamné aux frais judiciaires des deux instances (art. 106 al. 1 CPC). Les frais de première instance, non remis en cause en tant que tels, de 500 fr., seront confirmés, et ceux du recours seront arrêtés à 800 fr. Lesdits frais, de 1'300 fr., seront compensés avec les avances versées par les parties, qui restent acquises à l'Etat de Genève (art. 111 al. 1 CPC). L'intimé sera en conséquence condamné à verser 800 fr. à ce titre à la recourante (art. 111 al. 2 CPC). Il sera également condamné à verser, à titre de dépens pour les deux instances, la somme de 2'500 fr., débours et TVA inclus. * * * * *</w:t>
      </w:r>
    </w:p>
    <w:p>
      <w:r>
        <w:t>- 11/12 -</w:t>
      </w:r>
    </w:p>
    <w:p>
      <w:r>
        <w:t>C/16013/2015 PAR CES MOTIFS, La Chambre civile : A la forme : Déclare recevable le recours interjeté le 2 octobre 2017 par A______ contre l'ordonnance OTPI/498/2017 rendue le 18 septembre 2017 par le Tribunal de première instance dans la cause C/16013/2015- 16 SP. Au fond : Annule cette ordonnance. Rejette la requête en interprétation formée le 13 juin 2017 par B______ de l'ordonnance OTPI/120/2016 rendue le 7 mars 2016 par le Tribunal de première instance. Déboute les parties de toutes autres conclusions. Sur les frais des deux instances : Arrête les frais judiciaires à 1'300 fr., compensés avec les avances de frais fournies par les parties, acquises à l'Etat de Genève, soit pour lui les Services financiers du Pouvoir judiciaire. Les met à la charge de B______. Condamne B______ à verser 800 fr. à ce titre à A______. Condamne B______ à verser 2'500 fr. à A______ à titre de dépens. Siégeant : Madame Pauline ERARD, présidente; Madame Sylvie DROIN et Madame Nathalie LANDRY-BARTHE, juges; Madame Céline FERREIRA, greffière.</w:t>
      </w:r>
    </w:p>
    <w:p>
      <w:r>
        <w:t>La présidente : Pauline ERARD</w:t>
      </w:r>
    </w:p>
    <w:p>
      <w:r>
        <w:t>La greffière : Céline FERREIRA</w:t>
      </w:r>
    </w:p>
    <w:p>
      <w:r>
        <w:t>- 12/12 -</w:t>
      </w:r>
    </w:p>
    <w:p>
      <w:r>
        <w:t>C/16013/2015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