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ACJC/1436/2015 vom 10. Juli 2014</w:t>
      </w:r>
    </w:p>
    <w:p>
      <w:r>
        <w:t>GE Cour de justice, 2014-07-10, FR</w:t>
      </w:r>
    </w:p>
    <w:p>
      <w:r>
        <w:rPr>
          <w:b/>
        </w:rPr>
        <w:t xml:space="preserve">Quelle: </w:t>
      </w:r>
      <w:r>
        <w:t>https://mcp.opencaselaw.ch/entscheid/ge_gerichte_ACJC_1436_2015</w:t>
      </w:r>
    </w:p>
    <w:p>
      <w:r>
        <w:t>FR: GE_GERICHTE ACJC/1436/2015 du 10 juillet 2014</w:t>
      </w:r>
    </w:p>
    <w:p>
      <w:r>
        <w:t>IT: GE_GERICHTE ACJC/1436/2015 del 10 luglio 2014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 teneur de l'art. 22 LaCC, il n'est pas prélevé de frais ni alloué de dépens dans les causes soumises à la juridiction des baux et loyers (ATF 139 III 182 consid. 2.6).</w:t>
      </w:r>
    </w:p>
    <w:p>
      <w:r>
        <w:rPr>
          <w:b/>
        </w:rPr>
        <w:t>E. 7</w:t>
      </w:r>
    </w:p>
    <w:p>
      <w:r>
        <w:t>La valeur litigieuse pertinente dans le cadre d'un éventuel recours en matière de droit civil au Tribunal fédéral dépasse 15'000 fr. (consid. 1.1 ci-dessus). * * * * *</w:t>
      </w:r>
    </w:p>
    <w:p>
      <w:r>
        <w:t>- 12/12 -</w:t>
      </w:r>
    </w:p>
    <w:p>
      <w:r>
        <w:t>C/14178/2012 PAR CES MOTIFS, La Chambre des baux et loyers : A la forme : Déclare recevable l'appel interjeté le 9 septembre 2014 par A______ contre le jugement JTBL/795/2014 rendu le 10 juillet 2014 par le Tribunal des baux et loyers dans la cause C/14178/2012-6 OSB. Au fond : Confirme le jugement. Dit que la procédure est gratuite. Déboute les parties de toutes autres conclusions. Siégeant : Madame Nathalie LANDRY-BARTHE, présidente; Monsieur Laurent RIEBEN et Madame Fabienne GEISINGER-MARIÉTHOZ, juges; Monsieur Alain MAUNOIR et Monsieur Nicolas DAUDIN,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