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ACJC/1435/2022 vom 4. November 2022</w:t>
      </w:r>
    </w:p>
    <w:p>
      <w:r>
        <w:t>GE Cour de justice, 2022-11-04, FR</w:t>
      </w:r>
    </w:p>
    <w:p>
      <w:r>
        <w:rPr>
          <w:b/>
        </w:rPr>
        <w:t xml:space="preserve">Quelle: </w:t>
      </w:r>
      <w:r>
        <w:t>https://mcp.opencaselaw.ch/entscheid/ge_gerichte_ACJC_1435_2022</w:t>
      </w:r>
    </w:p>
    <w:p>
      <w:r>
        <w:t>FR: GE_GERICHTE ACJC/1435/2022 du 4 novembre 2022</w:t>
      </w:r>
    </w:p>
    <w:p>
      <w:r>
        <w:t>IT: GE_GERICHTE ACJC/1435/2022 del 4 novembre 2022</w:t>
      </w:r>
    </w:p>
    <w:p>
      <w:pPr>
        <w:pStyle w:val="Heading2"/>
      </w:pPr>
      <w:r>
        <w:t>Erwägungen</w:t>
      </w:r>
    </w:p>
    <w:p>
      <w:r>
        <w:rPr>
          <w:b/>
        </w:rPr>
        <w:t>E. 1.1</w:t>
      </w:r>
    </w:p>
    <w:p>
      <w:r>
        <w:t>Les jugements finaux rendus par le Tribunal de première instance dans une affaire patrimoniale dont la valeur litigieuse est, au dernier état des conclusions, de 10'000 fr. au moins sont susceptibles de faire l'objet d'un appel, écrit et motivé, auprès de la Chambre civile de la Cour de justice dans un délai de 30 jours à compter de leur notification (art. 308 et 311 CPC; art. 120 al. 1 let. a LOJ).</w:t>
      </w:r>
    </w:p>
    <w:p>
      <w:r>
        <w:t>- 6/15 -</w:t>
      </w:r>
    </w:p>
    <w:p>
      <w:r>
        <w:t>C/8074/2020</w:t>
      </w:r>
    </w:p>
    <w:p>
      <w:r>
        <w:rPr>
          <w:b/>
        </w:rPr>
        <w:t>E. 1.2</w:t>
      </w:r>
    </w:p>
    <w:p>
      <w:r>
        <w:t>Selon l'art. 138 al. 1 CPC, les décisions sont notifiées par envoi recommandé ou d'une autre manière contre accusé de réception.</w:t>
      </w:r>
    </w:p>
    <w:p>
      <w:r>
        <w:rPr>
          <w:b/>
        </w:rPr>
        <w:t>E. 1.2.1</w:t>
      </w:r>
    </w:p>
    <w:p>
      <w:r>
        <w:t>En présence de personnes physiques, la décision doit être notifiée au lieu de domicile des parties, à défaut, à leur lieu de résidence. Si la personne concernée indique une autre adresse au tribunal, c’est à cette adresse que les actes lui seront notifiés, indépendamment de son domicile légal (ATF 101 Ia 332; BOHNET, Commentaire romand CPC, 2ème éd., 2019, n. 9 ad art. 133 CPC et n. 10 ad art. 138 CPC).</w:t>
      </w:r>
    </w:p>
    <w:p>
      <w:r>
        <w:t>Lorsque le lieu de séjour du destinataire est inconnu et n'a pas pu être déterminé en dépit des recherches qui peuvent raisonnablement être exigées, la notification est effectuée par publication dans la feuille officielle cantonale ou dans la Feuille officielle suisse du commerce (art. 141 al. 1 let. a CPC). Un lieu de séjour inconnu ne peut être retenu que lorsque toutes les recherches utiles que l’on peut raisonnablement attendre ont été entreprises sans succès. Savoir s’il a été suffisamment satisfait à ce devoir de recherches s’apprécie selon la situation de fait concrète (arrêt du Tribunal fédéral 4A_646/2020 du 12 avril 2021 consid. 3.3.2).</w:t>
      </w:r>
    </w:p>
    <w:p>
      <w:r>
        <w:t>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l'envoi recommandé n'est pas retiré, il est réputé notifié à l'expiration d'un délai de sept jours à compter de l'échec de la remise pour autant que le destinataire devait s'attendre à une notification (cf. art. 138 al. 2 et 3 let. a CPC; ATF 134 V 49 consid. 4). En raison de la fiction de la notification, le destinataire est considéré comme s'il avait reçu l'envoi le dernier jour du délai (ATF 138 III 225 consid. 3.1). Un nouvel envoi de la décision et le retrait ultérieur du pli ne modifient en principe pas la fiction de notification (cf. not. ATF 119 IV 89 consid. 4b/aa; arrêt du Tribunal fédéral 5A_25/2020 du 16 avril 2020 consid. 4.1.2). Le Tribunal fédéral a toutefois admis qu'il faut réserver la protection du principe de la confiance (art. 5 al. 3 et 9 Cst., 52 CPC). Il en résulte que le délai peut se trouver prolongé lorsque, avant la fin du délai, le tribunal communique au plaideur une indication fondant sa confiance ou, par son comportement (contradictoire) éveille cette confiance. Une telle indication peut, entre autres, consister à notifier la décision à nouveau au plaideur, avant la fin du délai, avec une indication sans réserve des voies de droit. La protection de la confiance n'est cependant pas un automatisme. Pour l'admettre, il faut que la personne qui l'invoque ait pu légitimement se fier à l'indication du tribunal et que, sur cette base, elle ait pris des dispositions désavantageuses pour elle, sur lesquelles elle ne peut plus revenir. Dès lors, pour éviter toute confusion sur le point de départ du délai de recours, si</w:t>
      </w:r>
    </w:p>
    <w:p>
      <w:r>
        <w:t>- 7/15 -</w:t>
      </w:r>
    </w:p>
    <w:p>
      <w:r>
        <w:t>C/8074/2020 le tribunal veut opérer une seconde tentative de notification, après que la décision est déjà réputée régulièrement notifiée en raison de la fiction de notification selon l'art. 138 al. 3 let. a CPC, il suffit de joindre à l'acte une lettre d'accompagnement qui éclaire la situation et exclut d'emblée tout éventuel malentendu concernant le cours du délai. Le tribunal peut par exemple ajouter l'indication selon laquelle il s'agit d'une seconde notification, qui ne change rien à la fiction de notification et au début du cours du délai (arrêts du Tribunal fédéral 5A_25/2020 du 16 avril 2020 consid. 4.1.3 et 4A_53/2019 du 14 mai 2019 consid. 4.4).</w:t>
      </w:r>
    </w:p>
    <w:p>
      <w:r>
        <w:t>La notification irrégulière d'un acte judiciaire a généralement pour seule conséquence qu'elle ne doit entraîner aucun préjudice pour les parties. Cela signifie que le délai de recours pour attaquer l'acte notifié irrégulièrement court dès le jour où les parties ont pu en prendre connaissance, dans son dispositif et ses motifs (arrêts du Tribunal fédéral 5A_699/2019 du 30 mars 2020 consid. 5.1; 5A_41/2019 du 22 janvier 2020 consid. 4.3.1 et 5A_364/2012 du 20 décembre 2012 consid. 5.2.1 et les références).</w:t>
      </w:r>
    </w:p>
    <w:p>
      <w:r>
        <w:rPr>
          <w:b/>
        </w:rPr>
        <w:t>E. 1.2.2</w:t>
      </w:r>
    </w:p>
    <w:p>
      <w:r>
        <w:t>En l'espèce, le jugement attaqué a été notifié à l'appelant à deux reprises, soit une première fois par pli recommandé du 3 décembre 2021 puis une seconde fois par pli recommandé du 5 janvier 2022.</w:t>
      </w:r>
    </w:p>
    <w:p>
      <w:r>
        <w:t>Le premier envoi recommandé, qui a été retourné au Tribunal à l'échéance du délai de garde de sept jours avec la mention "non réclamé", a été expédié à l'adresse du lieu de travail de l'appelant. Contrairement à ce qu'affirme l'intimé, il ne ressort pas du procès-verbal d'audience du 12 novembre 2021 que l'appelant aurait accepté que les actes de procédure lui soient notifiés à cette adresse, celui-ci ayant uniquement confirmé avoir reçu "le courrier qui [lui] a[vait] été adressé sur [son] lieu de travail", sans préciser s'il faisait référence à la citation du 18 juin 2021 expédiée à son adresse professionnelle ou à celle du 12 novembre 2021 remise par un huissier judiciaire sur son lieu de travail. Ainsi, en l'absence d'un accord de l'appelant à un envoi des actes de procédure à son adresse professionnelle, le jugement entrepris aurait dû lui être notifié à son lieu de séjour (domicile ou résidence) ou si, comme cela semble être le cas en l'espèce, celui-ci était inconnu, par voie édictale conformément à l'art. 141 CPC. Le fait que l'appelant ait, lors de l'audience du 12 novembre 2021, refusé de communiquer l'adresse de son domicile n'autorisait pas encore l'autorité de première instance à lui notifier le jugement entrepris à son adresse professionnelle. Dans la mesure où l'appelant comparaissait en personne, le premier juge aurait en revanche pu attirer son attention sur le fait que, en l'absence de lieu de séjour connu, la notification du jugement entrepris serait effectuée par voie édictale (cf. art. 56 CPC et 247 al. 1 CPC). La première notification du jugement entrepris étant intervenue de manière irrégulière, seule la seconde notification est déterminante pour le calcul du délai de recours.</w:t>
      </w:r>
    </w:p>
    <w:p>
      <w:r>
        <w:t>- 8/15 -</w:t>
      </w:r>
    </w:p>
    <w:p>
      <w:r>
        <w:t>C/8074/2020</w:t>
      </w:r>
    </w:p>
    <w:p>
      <w:r>
        <w:t>A titre superfétatoire, il peut être relevé qu'alors que le Tribunal savait que la première notification du jugement entrepris n'avait pas atteint l'appelant, le courrier accompagnant la seconde notification, expédié dans le délai de recours déclenché par le premier envoi, ne mentionnait pas qu'il s'agissait d'une deuxième notification. Par ailleurs, cet envoi faisait suite à un courrier du 15 décembre 2021 de l'appelant par lequel celui-ci communiquait spontanément l'adresse de son nouveau domicile et sollicitait que le jugement lui soit notifié à cette adresse. Au vu de ces circonstances, l'appelant, qui comparaissait en personne, pouvait légitimement penser, en l'absence de mention particulière de la part de l'autorité précédente, que le jugement entrepris lui avait été notifié pour la première fois par le pli recommandé expédié consécutivement à son courrier du 15 décembre 2021. Ainsi, en application du principe de la confiance, le délai ne saurait être considéré comme échu avant l'expiration d'un délai de 30 jours suivant la seconde notification du jugement entrepris.</w:t>
      </w:r>
    </w:p>
    <w:p>
      <w:r>
        <w:t>Le second envoi du jugement entrepris ayant été notifié à l'appelant le 14 janvier 2022, l'appel, expédié le 14 février 2022, est intervenu dans le délai de recours de 30 jours.</w:t>
      </w:r>
    </w:p>
    <w:p>
      <w:r>
        <w:rPr>
          <w:b/>
        </w:rPr>
        <w:t>E. 1.3</w:t>
      </w:r>
    </w:p>
    <w:p>
      <w:r>
        <w:t>L'appel ayant pour le surplus été formé auprès de l'autorité compétente et dans la forme prescrite par la loi à l'encontre d'une décision finale rendue dans une affaire patrimoniale dont la valeur litigieuse est, compte tenu de la quotité de la contribution réclamée, supérieure à 10'000 fr., sa recevabilité sera admise.</w:t>
      </w:r>
    </w:p>
    <w:p>
      <w:r>
        <w:rPr>
          <w:b/>
        </w:rPr>
        <w:t>E. 1.4</w:t>
      </w:r>
    </w:p>
    <w:p>
      <w:r>
        <w:t>La Cour de céans revoit la cause en fait et en droit avec un plein pouvoir d'examen (art. 310 CPC). Le litige, circonscrit à la quotité de la contribution due pour l'entretien du fils mineur de l'appelant, est soumis aux maximes inquisitoire illimitée et d'office (art. 296 al. 1 et 3 CPC). La procédure simplifiée s'applique (art. 295 CPC).</w:t>
      </w:r>
    </w:p>
    <w:p>
      <w:r>
        <w:rPr>
          <w:b/>
        </w:rPr>
        <w:t>E. 2</w:t>
      </w:r>
    </w:p>
    <w:p>
      <w:r>
        <w:t>Les parties ont produit des pièces nouvelles à l'appui de leurs écritures respectives.</w:t>
      </w:r>
    </w:p>
    <w:p>
      <w:r>
        <w:rPr>
          <w:b/>
        </w:rPr>
        <w:t>E. 2.1</w:t>
      </w:r>
    </w:p>
    <w:p>
      <w:r>
        <w:t>La Cour examine d'office la recevabilité des faits et moyens de preuve nouveaux en appel (REETZ/HILBER, Kommentar zur Schweizerischen Zivilprozessordnung [ZPO], 3ème éd., 2016, n. 26 ad art. 317 CPC).</w:t>
      </w:r>
    </w:p>
    <w:p>
      <w:r>
        <w:t>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Cependant, lorsque le juge est saisi de questions relatives à des enfants mineurs dans les affaires de droit de la famille, les pièces nouvelles sont recevables même</w:t>
      </w:r>
    </w:p>
    <w:p>
      <w:r>
        <w:t>- 9/15 -</w:t>
      </w:r>
    </w:p>
    <w:p>
      <w:r>
        <w:t>C/8074/2020 si les conditions de l'art. 317 al. 1 CPC ne sont pas réunies du fait que la maxime inquisitoire illimitée s'applique (ATF 144 III 349 consid. 4.2.1).</w:t>
      </w:r>
    </w:p>
    <w:p>
      <w:r>
        <w:rPr>
          <w:b/>
        </w:rPr>
        <w:t>E. 2.2</w:t>
      </w:r>
    </w:p>
    <w:p>
      <w:r>
        <w:t>En l'espèce, dans la mesure où l'objet du contentieux consiste en l'entretien financier d'un enfant mineur, les pièces nouvelles produites par les parties en appel sont recevables, indépendamment de la question de savoir si les conditions fixées à l'art. 317 al. 1 CPC sont réalisées.</w:t>
      </w:r>
    </w:p>
    <w:p>
      <w:r>
        <w:rPr>
          <w:b/>
        </w:rPr>
        <w:t>E. 3</w:t>
      </w:r>
    </w:p>
    <w:p>
      <w:r>
        <w:t>L'appelant conteste le montant la contribution d'entretien fixée en faveur de son fils, qu'il estime trop élevé. Il reproche au premier juge de ne pas avoir correctement apprécié sa situation financière.</w:t>
      </w:r>
    </w:p>
    <w:p>
      <w:r>
        <w:rPr>
          <w:b/>
        </w:rPr>
        <w:t>E. 3.1</w:t>
      </w:r>
    </w:p>
    <w:p>
      <w:r>
        <w:t>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(ATF 147 III 265 consid. 5.5; arrêt du Tribunal fédéral 5A_848/2019 du 2 décembre 2020 consid. 7.1). La contribution d'entretien doit correspondre aux besoins de l'enfant ainsi qu'à la situation et aux ressources des père et mère (art. 285 al. 1 CC). Elle sert également à garantir la prise en charge de l'enfant par les parents et les tiers (art. 285 al. 2 CC). Pour calculer les contributions d'entretien du droit de la famille, il convient d'appliquer la méthode dite en deux étapes, ou méthode du minimum vital avec répartition de l'excédent. Selon cette méthode,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 Pour les enfants, outre la part au loyer, les primes d'assurance-maladie obligatoire, les frais</w:t>
      </w:r>
    </w:p>
    <w:p>
      <w:r>
        <w:t>- 10/15 -</w:t>
      </w:r>
    </w:p>
    <w:p>
      <w:r>
        <w:t>C/8074/2020 médicaux spécifiques, les frais de garde par des tiers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S'il reste un excédent après couverture du minimum vital du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La part d'épargne réalisée et prouvée doit être retranchée de l'excédent (ATF 147 III 265 consid. 7.3). Seules les charges effectives, à savoir celles qui sont réellement acquittées, peuvent être prises en compte pour le calcul de la contribution d'entretien (ATF 121 III 20 consid. 3a et les références), à l'exclusion de dépenses hypothétiques dont on ne sait si elles existeront finalement - et à concurrence de quel montant - ni si elles seront en définitive assumées (arrêt du Tribunal fédéral 5A_378/2021 du 7 septembre 2022 consid. 7.3). Une dette peut être prise en considération dans le calcul du minimum vital du droit de la famille pour autant que des paiements pour l'amortir aient été effectués régulièrement avant la fin de la vie commune et qu'elle ait été contractée pour le bénéfice de la famille, décidée en commun ou que les époux en sont débiteurs</w:t>
      </w:r>
    </w:p>
    <w:p>
      <w:r>
        <w:t>- 11/15 -</w:t>
      </w:r>
    </w:p>
    <w:p>
      <w:r>
        <w:t>C/8074/2020 solidaires (ATF 127 III 289 consid. 2a/bb; arrêt du Tribunal fédéral 5A_979/2021 du 2 août 2022 consid. 4.2.1).</w:t>
      </w:r>
    </w:p>
    <w:p>
      <w:r>
        <w:t>Selon l'art. 279 al. 1 CC, l'enfant peut réclamer des contributions d'entretien pour l'avenir et pour l'année qui précède l'ouverture de l'action. L'effet rétroactif ne se justifie que si l'entretien dû n'a pas été assumé en nature ou en espèces ou dès qu'il a cessé de l'être (arrêt du Tribunal fédéral 5A_372/2015 du 29 septembre 2015 consid. 3.1).</w:t>
      </w:r>
    </w:p>
    <w:p>
      <w:r>
        <w:rPr>
          <w:b/>
        </w:rPr>
        <w:t>E. 3.2</w:t>
      </w:r>
    </w:p>
    <w:p>
      <w:r>
        <w:t>En l'espèce, le premier juge a, après avoir arrêté le solde disponible de l'appelant à 1'150 fr. par mois et le coût mensuel d'entretien de son fils à 700 fr., fixé la contribution due à l'entretien de ce dernier à 800 fr. par mois dès le mois de mai 2019.</w:t>
      </w:r>
    </w:p>
    <w:p>
      <w:r>
        <w:t>Les parties ne contestent pas le montant retenu à titre de coût d'entretien de l'enfant ni le dies a quo fixé pour le versement de la contribution d'entretien.</w:t>
      </w:r>
    </w:p>
    <w:p>
      <w:r>
        <w:t>Seule la situation financière de l'appelant demeure litigieuse en appel.</w:t>
      </w:r>
    </w:p>
    <w:p>
      <w:r>
        <w:t>Il est acquis que le revenu mensuel net de l'appelant s'élève à 4'100 fr.</w:t>
      </w:r>
    </w:p>
    <w:p>
      <w:r>
        <w:t>S'agissant de ses charges, c'est à juste titre que le premier juge a pris en compte le montant mensuel de base de 1'200 fr., ses frais de logement de 1'350 fr., le caractère effectif de cette dépense ayant été démontré, ainsi que sa prime d'assurance-maladie obligatoire, qui s'élève, selon les nouvelles pièces produites en appel, à 445 fr. Si comme le relève l'intimé, l'appelant ne s'est plus acquitté de sa prime d'assurance-maladie depuis le mois d'août 2019, il a toutefois établi en avoir récemment repris le paiement par le biais d'un ordre permanent et a exposé bénéficier de l'aide d'un organisme social afin d'assainir sa situation financière, de sorte que ce poste de charge sera admis. Par ailleurs, aucun élément au dossier ne permet de retenir que, comme le soutient l'intimé, l'appelant percevrait une aide financière pour ses frais de logement et sa prime d'assurance-maladie. La prise en compte d'un montant réduit pour ces postes ne se justifie en conséquence pas.</w:t>
      </w:r>
    </w:p>
    <w:p>
      <w:r>
        <w:t>L'intimé ne contestant pas que l'appelant se rend sur son lieu de travail en transports publics, des frais de transport de 70 fr. seront pris en considération, correspondant au coût d'un abonnement mensuel auprès des transports publics genevois.</w:t>
      </w:r>
    </w:p>
    <w:p>
      <w:r>
        <w:t>Selon la calculette disponible sur le site Internet de l'Administration fiscale genevoise, les impôts ICC et IFD de l'appelant peuvent être estimés à 265 fr. par mois, de sorte qu'il y a lieu, comme le soutient à juste titre l'intéressé, d'intégrer ce poste de charge dans son budget quand bien même il ne l'aurait pas allégué en première instance, la maxime inquisitoire illimitée étant applicable. Cette</w:t>
      </w:r>
    </w:p>
    <w:p>
      <w:r>
        <w:t>- 12/15 -</w:t>
      </w:r>
    </w:p>
    <w:p>
      <w:r>
        <w:t>C/8074/2020 estimation tient compte de son statut de célibataire, de ses revenus, de la contribution due à l'entretien de l'intimé et des déductions usuelles. Il n'y a en revanche pas lieu de tenir compte de mensualités de remboursement des dettes accumulés par l'appelant, dès lors qu'elles ont été contractées postérieurement à sa séparation d'avec la mère de son fils. L'appelant ne les comptabilise d'ailleurs pas dans son budget. Les charges mensuelles admissibles de l'appelant seront en conséquence fixées à 3'330 fr., ce qui lui laisse un solde disponible de 770 fr. (4'100 fr. de revenus – 3'330 fr. de charges). Dans la mesure où l'intimé est pris en charge par sa mère, c'est à juste titre que le premier juge a retenu que l'appelant devait supporter l'intégralité de l'entretien de son fils, ce que les parties ne contestent d'ailleurs pas. Après couverture du coût d'entretien mensuel de l'intimé, d'un montant de 700 fr., l'excédent de l'appelant s'élève à 70 fr. Compte tenu de la modicité de cette somme et des nombreuses dettes dont l'appelant fait l'objet, il n'apparaît pas justifié de procéder à une répartition de cet excédent.</w:t>
      </w:r>
    </w:p>
    <w:p>
      <w:r>
        <w:t>La contribution mensuelle à l'entretien de l'intimé, fixée à 800 fr. par le premier juge, sera en conséquence réduite, comme le sollicite l'appelant, à 700 fr. Le chiffre 2 du dispositif du jugement attaqué sera modifié dans ce sens.</w:t>
      </w:r>
    </w:p>
    <w:p>
      <w:r>
        <w:rPr>
          <w:b/>
        </w:rPr>
        <w:t>E. 4</w:t>
      </w:r>
    </w:p>
    <w:p>
      <w:r>
        <w:t>L'appelant conteste avoir, lors de l'audience du 12 novembre 2021, déclaré ne pas avoir l'envie de voir son fils et souhaite la rectification du jugement entrepris sur ce point. Outre que cette question n'est pas pertinente pour l'issue du litige, une éventuelle rectification du procès-verbal relève de la compétence du Tribunal (art. 235 al. 3 CPC) et doit, en principe, conformément au principe de la bonne foi, être déposée immédiatement après la réception d'une copie du procès-verbal d'audience (arrêt du Tribunal fédéral 4A_160/2013 du 21 août 2013 consid. 3.4; HEINZMANN/PASQUIER, Petit commentaire Code de procédure civile, 2020, n. 16 ad art. 235 CPC; TAPPY, Commentaire romand CPC, 2ème éd., 2019, n. 28 ad art. 235 CPC).</w:t>
      </w:r>
    </w:p>
    <w:p>
      <w:r>
        <w:rPr>
          <w:b/>
        </w:rPr>
        <w:t>E. 5.1</w:t>
      </w:r>
    </w:p>
    <w:p>
      <w:r>
        <w:t>Lorsque la Cour de céans statue à nouveau, elle se prononce sur les frais fixés par le tribunal de première instance (art. 318 al. 3 CPC). Le premier juge a mis l'émolument de conciliation et de décision (100 fr. + 800 fr.) ainsi que les frais d'interprète (240 fr.) à la charge des parties pour moitié chacune et les frais de publication FAO ainsi que de notification par huissier à la charge exclusive de l'appelant, au motif qu'il avait provoqué ces frais en se désintéressant de la procédure. Il n'a pas alloué de dépens.</w:t>
      </w:r>
    </w:p>
    <w:p>
      <w:r>
        <w:t>- 13/15 -</w:t>
      </w:r>
    </w:p>
    <w:p>
      <w:r>
        <w:t>C/8074/2020 Compte tenu de l'issue ainsi que de la nature du litige, une modification de la décision déférée sur ces points ne s'impose pas (art. 106 al. 2 et 107 al. 1 let. c CPC).</w:t>
      </w:r>
    </w:p>
    <w:p>
      <w:r>
        <w:rPr>
          <w:b/>
        </w:rPr>
        <w:t>E. 5.2</w:t>
      </w:r>
    </w:p>
    <w:p>
      <w:r>
        <w:t>Les frais judiciaires de la procédure d'appel seront arrêtés à 800 fr. (art. 32 et 35 RTFMC) et mis à la charge des parties par moitié chacune, au vu de la nature familiale du litige (art. 107 al. 1 let. c CPC).</w:t>
      </w:r>
    </w:p>
    <w:p>
      <w:r>
        <w:t>Les parties plaidant au bénéfice de l'assistance judiciaire, la part des frais leur incombant sera provisoirement laissée à la charge de l'Etat de Genève (art. 122 al. 1 let. b CPC), qui pourra en demander le remboursement ultérieurement aux conditions de l'art. 123 al. 1 CPC.</w:t>
      </w:r>
    </w:p>
    <w:p>
      <w:r>
        <w:t>Pour les mêmes motifs liés à la nature du litige, chaque partie conservera à sa charge ses propres dépens d'appel (art. 107 al. 1 let. c CPC). * * * * *</w:t>
      </w:r>
    </w:p>
    <w:p>
      <w:r>
        <w:t>- 14/15 -</w:t>
      </w:r>
    </w:p>
    <w:p>
      <w:r>
        <w:t>C/8074/2020 PAR CES MOTIFS, La Chambre civile : A la forme : Déclare recevable l'appel interjeté par A______ contre le jugement JTPI/15176/2021 rendu le 2 décembre 2021 par le Tribunal de première instance dans la cause C/8074/2020-1. Au fond : Annule le chiffre 2 du dispositif du jugement entrepris et statuant à nouveau sur ce point : Condamne A______ à verser à C______, mensuellement et d'avance, une contribution à l'entretien de l'enfant B______ de 700 fr. dès le mois de mai 2019 et jusqu'à sa majorité, voire au-delà s'il poursuit une formation appropriée. Confirme le jugement entrepris pour le surplus. Déboute les parties de toutes autres conclusions. Sur les frais : Arrête les frais judiciaires d'appel à 800 fr. et les met à la charge des parties par moitié chacune. Laisse provisoirement la part des frais judiciaires d'appel de A______ et de l'enfant B______ à la charge de l'Etat de Genève. Dit que chaque partie supporte ses propres dépens d'appel. Siégeant : Monsieur Laurent RIEBEN, président; Monsieur Patrick CHENAUX, Madame Fabienne GEISINGER-MARIETHOZ, juges; Madame Jessica ATHMOUNI, greffière.</w:t>
      </w:r>
    </w:p>
    <w:p>
      <w:r>
        <w:t>Indication des voies de recours :</w:t>
      </w:r>
    </w:p>
    <w:p>
      <w:r>
        <w:t>- 15/15 -</w:t>
      </w:r>
    </w:p>
    <w:p>
      <w:r>
        <w:t>C/8074/2020</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