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ACJC/1434/2020 vom 30. Oktober 2020</w:t>
      </w:r>
    </w:p>
    <w:p>
      <w:r>
        <w:t>GE Cour de justice, 2020-10-30, FR</w:t>
      </w:r>
    </w:p>
    <w:p>
      <w:r>
        <w:rPr>
          <w:b/>
        </w:rPr>
        <w:t xml:space="preserve">Quelle: </w:t>
      </w:r>
      <w:r>
        <w:t>https://mcp.opencaselaw.ch/entscheid/ge_gerichte_ACJC_1434_2020</w:t>
      </w:r>
    </w:p>
    <w:p>
      <w:r>
        <w:t>FR: GE_GERICHTE ACJC/1434/2020 du 30 octobre 2020</w:t>
      </w:r>
    </w:p>
    <w:p>
      <w:r>
        <w:t>IT: GE_GERICHTE ACJC/1434/2020 del 30 ottobre 2020</w:t>
      </w:r>
    </w:p>
    <w:p>
      <w:pPr>
        <w:pStyle w:val="Heading2"/>
      </w:pPr>
      <w:r>
        <w:t>Erwägungen</w:t>
      </w:r>
    </w:p>
    <w:p>
      <w:r>
        <w:rPr>
          <w:b/>
        </w:rPr>
        <w:t>E. 1.1</w:t>
      </w:r>
    </w:p>
    <w:p>
      <w:r>
        <w:t>L'appel est recevable pour avoir été interjeté auprès de l'autorité compétente (art. 120 al. 1 let. a LOJ), dans le délai utile de trente jours (art. 142 al. 1 et 311 CPC) et selon la forme prescrite par la loi (art. 130, 131, 244 et 311 CPC), à l'encontre d'une décision de première instance qui porte sur la réglementation des droits parentaux, seul point encore litigieux, soit une affaire de nature non pécuniaire. Le mémoire de réponse est également recevable pour avoir été déposé dans le délai et la forme prescrits par la loi (art 312 al. 2 CPC). Il en va de même des mémoires de réplique et duplique des parties (art. 316 al. 2 CPC ; sur le droit à la réplique spontanée : cf. ATF 146 III 97 consid. 3.4.1 et les références citées).</w:t>
      </w:r>
    </w:p>
    <w:p>
      <w:r>
        <w:rPr>
          <w:b/>
        </w:rPr>
        <w:t>E. 1.2</w:t>
      </w:r>
    </w:p>
    <w:p>
      <w:r>
        <w:t>Dans la mesure où elle n'est pas liée à une procédure matrimoniale, la demande visant à régler les droits parentaux est soumise à la procédure simplifiée (art. 295 CPC).</w:t>
      </w:r>
    </w:p>
    <w:p>
      <w:r>
        <w:t>- 10/18 -</w:t>
      </w:r>
    </w:p>
    <w:p>
      <w:r>
        <w:t>C/14462/2018 La Cour revoit la cause avec un plein pouvoir d'examen (art. 310 CPC). Les maximes d'office et inquisitoire illimitée régissent la procédure, de sorte que la Cour établit les faits d'office et n'est pas liée par les conclusions des parties (art. 296 al. 1 et 3 CPC), ni par l'interdiction de la reformatio in pejus (ATF 138 III 374 consid. 4.3.1 ; arrêt du Tribunal fédéral 5A_757/2013 du 14 juillet 2014 consid. 2.1).</w:t>
      </w:r>
    </w:p>
    <w:p>
      <w:r>
        <w:rPr>
          <w:b/>
        </w:rPr>
        <w:t>E. 1.3</w:t>
      </w:r>
    </w:p>
    <w:p>
      <w:r>
        <w:t>Les pièces nouvelles produites en appel, utiles à la fixation des droits parentaux sur les mineurs, sont recevables. En effet, lorsque la procédure est soumise, comme ici, à la maxime inquisitoire illimitée, les parties peuvent présenter des nova en appel même si les conditions de l'art. 317 al. 1 CPC ne sont pas réunies (ATF 144 III 349 consid. 4.2.1; plus récemment : arrêt du Tribunal fédéral 5A_685/2018 du 15 mai 2019 consid. 3).</w:t>
      </w:r>
    </w:p>
    <w:p>
      <w:r>
        <w:rPr>
          <w:b/>
        </w:rPr>
        <w:t>E. 2</w:t>
      </w:r>
    </w:p>
    <w:p>
      <w:r>
        <w:t>Le présent litige présente un élément d'extranéité en raison de la nationalité étrangère commune des parents et de leurs enfants. Au vu de la résidence habituelle des enfants à Genève, les tribunaux genevois sont compétents pour statuer sur l'attribution de l'autorité parentale et le règlement des relations personnelles (art. 3 let. a et b et 5 ch. 1 de la Convention de La Haye du 19 octobre 1996 concernant la compétence, la loi applicable, la reconnaissance, l'exécution et la coopération en matière de responsabilité parentale et de mesures de protection des enfants [CLaH 96 ; RS 0.211.231.011], qui s'applique à titre de droit international dans les relations entre la Suisse et un Etat ayant ratifié la Convention, tel le Portugal). Le droit suisse est applicable (art. 15 ch. 1 CLaH 96).</w:t>
      </w:r>
    </w:p>
    <w:p>
      <w:r>
        <w:rPr>
          <w:b/>
        </w:rPr>
        <w:t>E. 3</w:t>
      </w:r>
    </w:p>
    <w:p>
      <w:r>
        <w:t>L'appelante reproche au Tribunal d'avoir instauré l'autorité parentale conjointe sur les deux enfants. Elle souhaite que l'autorité parentale soit maintenue exclusivement en sa faveur. 3.1.1 A teneur de l'ancien art. 298 al. 1 CC, en vigueur jusqu'au 30 juin 2014, si la mère n'était pas mariée avec le père, l'autorité parentale appartenait à cette dernière. Aux termes du nouvel art. 296 al. 2 CC, entré en vigueur le 1er juillet 2014, l'enfant est soumis, pendant sa minorité, à l'autorité parentale conjointe de ses père et mère. L'art. 12 al. 4 Tit. fin. CC dispose que si l'autorité parentale n'appartient qu'à l'un des parents lors de l'entrée en vigueur de la modification du 21 juin 2013 (RO 2014 p. 357), l'autre parent peut, dans le délai d'une année à compter de l'entrée en vigueur du nouveau droit - soit jusqu'au 30 juin 2015 -, s'adresser à l'autorité compétente pour lui demander de prononcer l'autorité parentale conjointe. L'art. 298b CC est applicable par analogie. Au-delà de ce délai et faute d'accord du parent titulaire de l'autorité parentale (art. 298a CC), le parent</w:t>
      </w:r>
    </w:p>
    <w:p>
      <w:r>
        <w:t>- 11/18 -</w:t>
      </w:r>
    </w:p>
    <w:p>
      <w:r>
        <w:t>C/14462/2018 concerné devra se fonder sur des faits nouveaux importants au sens de l'art. 298d al. 1 CC pour requérir l'autorité parentale conjointe (arrêt du Tribunal fédéral 5A_594/2018 du 11 mars 2019 consid. 6.2 et la référence citée). En application de l'art. 298d al. 1 CC, en vigueur depuis le 1er juillet 2014, l'autorité de protection – respectivement le juge (art. 298d al. 3 CC) – modifie l'attribution de l'autorité parentale, à la requête de l'un des parents, de l'enfant, ou encore d'office, lorsque des faits nouveaux importants le commandent pour le bien de l'enfant (art. 298d al. 1 CC). La modification de l'attribution de l'autorité parentale ou de l'une de ses composantes est subordonnée à deux conditions, soit, d'une part, des faits nouveaux et, d'autre part, que la modification intervienne pour le bien de l'enfant. Même si l'instauration d'une autorité parentale conjointe en lieu et place d'une autorité parentale exclusive ne devrait pas dépendre de critères d'appréciation trop stricts, le parent privé jusque-là de l'autorité parentale qui agit en ce sens après l'échéance du délai d'une année de l'art. 12 al. 4 Tit. fin. CC doit établir l'existence de faits nouveaux et importants qui commandent pour le bien de l'enfant qu'il soit renoncé au maintien d'une autorité parentale exclusive. Savoir si une modification essentielle est survenue doit s'apprécier en fonction de toutes les circonstances du cas d'espèce et relève du pouvoir d'appréciation de l'autorité de protection ou du juge (arrêt du Tribunal fédéral 5A_618/2017 du 2 février 2018 consid. 3.1.2 et les références citées). La dissolution d'une relation de concubinage, et par là même de la communauté domestique que les parents formaient avec l'enfant peut, à elle seule, constituer un fait nouveau important (ACJC/1314/2019 du 10 septembre 2019 consid. 5.1; ACJC/51/2019 du 15 janvier 2019 consid. 5.1.3 ; arrêt 106 2017 109 du Tribunal cantonal fribourgeois du 31 janvier 2018 consid. 3.3.2). Pour les enfants nés avant le 1er juillet 2014, la nouveauté du fait justifiant une modification de l'autorité parentale s'apprécie en fonction de l'échéance du délai d'une année prévu à l'art. 12 al. 4 Tit. fin. CC (arrêt du Tribunal fédéral 5A_30/2017 précité consid. 4). Lorsque le fait nouveau important invoqué consiste dans la séparation du couple non marié, la personne qui requiert la modification des droits parentaux doit démontrer que la séparation a fondamentalement modifié la situation de fait et l'a privée de prérogatives dont elle aurait bénéficié par le passé, soit que les décisions concernant l'enfant étaient prises d'un commun accord du temps de la vie commune, en dépit du fait qu'elle n'était pas titulaire de l'autorité parentale (DAS/148/2017 du 2 août 2017 consid. 2.2.2). 3.1.2 Une nouvelle réglementation de l'autorité parentale ne dépend pas seulement de l'existence de circonstances nouvelles importantes; elle doit aussi être commandée par le bien de l'enfant (arrêt du Tribunal fédéral 5A_406/2018 du 26 juillet 2018 consid. 3.1). La modification ne peut être envisagée que si le maintien de la réglementation actuelle risque de porter atteinte au bien de l'enfant et le menace sérieusement. La nouvelle réglementation doit ainsi s'imposer</w:t>
      </w:r>
    </w:p>
    <w:p>
      <w:r>
        <w:t>- 12/18 -</w:t>
      </w:r>
    </w:p>
    <w:p>
      <w:r>
        <w:t>C/14462/2018 impérativement, en ce sens que le mode de vie actuel nuit plus au bien de l'enfant que le changement de réglementation et la perte de continuité dans l'éducation et les conditions de vie qui en est consécutive (arrêts du Tribunal fédéral 5A_781/2015 du 14 mars 2016 consid. 3.2.2 ; 5A_63/2011 du 1er juin 2011 consid. 2.4.1 et les références).</w:t>
      </w:r>
    </w:p>
    <w:p>
      <w:r>
        <w:rPr>
          <w:b/>
        </w:rPr>
        <w:t>E. 3.2</w:t>
      </w:r>
    </w:p>
    <w:p>
      <w:r>
        <w:t>En l'espèce, la dissolution du concubinage formé par les parents est intervenue après l'échéance du délai fixé par l'art. 12 al. 4 Tit. fin. CC, de sorte qu'une modification de l'attribution de l'autorité parentale suppose que des faits nouveaux et importants, au sens de l'art. 298d al. 1 CC, commandent pour le bien des enfants qu'il soit renoncé au maintien de l'autorité parentale exclusive de la mère, attribuée de plein droit lors de la naissance des enfants, en application de l'ancien art. 298 al. 1 CC. L'intimé fait valoir que la séparation des parties a modifié fondamentalement la situation de fait relative à la prise de décisions liées aux enfants, dès lors qu'il est dorénavant exclu de la vie des enfants alors qu'il participait à la prise de décisions importantes les concernant du temps de la vie commune en dépit du fait qu'il n'était pas titulaire de l'autorité parentale. Il est admis que, du temps de la vie commune, l'appelante gérait de manière prépondérante le quotidien des enfants et donc les décisions courantes liées à leur éducation. Cette gestion courante n'est toutefois pas incompatible avec une prise de décisions communes pour les questions plus importantes, ce que l'appelante ne conteste d'ailleurs pas. Il y a donc lieu de retenir, en référence à la jurisprudence citée ci-dessus, que la séparation des parties, intervenue en mars 2018, constitue, en l'occurrence, un fait nouveau important au sens de l'art. 298d al. 1 CC justifiant qu'il soit entré en matière sur la demande de modification de l'autorité parentale, puisqu'elle a eu un impact concret sur la prise de décisions liées aux enfants. Reste à examiner si les circonstances du cas d'espèce commandent d'attribuer aux parties l'exercice conjoint de l'autorité parentale sur les enfants. Depuis la séparation des parties, l'appelante prend seule toutes les décisions relatives aux enfants sans consulter ou en informer le père. Celui-ci n'a en effet plus accès aux informations relatives à l'évolution scolaire des enfants ni à leur état de santé, ainsi que l'a relevé le SEASP dans son rapport. Il est donc à craindre que le maintien de cette situation accentue le contrôle exercé par la mère sur ses enfants depuis la dissolution du concubinage et relègue le père au second plan alors que ce dernier souhaite s'investir dans l'éducation de ses enfants comme par le passé, durant la vie commune. Le maintien de l'autorité parentale exclusive paraît ainsi davantage nuisible au bien des enfants que l'instauration de l'autorité parentale conjointe.</w:t>
      </w:r>
    </w:p>
    <w:p>
      <w:r>
        <w:t>- 13/18 -</w:t>
      </w:r>
    </w:p>
    <w:p>
      <w:r>
        <w:t>C/14462/2018 C'est par conséquent à bon droit, à la lumière de la jurisprudence précitée, que le Tribunal a suivi les recommandations du SEASP et instauré l'autorité parentale conjointe, au motif que l'intérêt des enfants sera concrètement mieux préservé en cas de passage à une autorité parentale conjointe permettant un partage de la responsabilité parentale. L'appelante n'allègue ni n'établit aucune circonstance permettant de considérer qu'une telle solution serait défavorable aux enfants. Partant, le jugement querellé sera confirmé sur ce point.</w:t>
      </w:r>
    </w:p>
    <w:p>
      <w:r>
        <w:rPr>
          <w:b/>
        </w:rPr>
        <w:t>E. 4</w:t>
      </w:r>
    </w:p>
    <w:p>
      <w:r>
        <w:t>L'appelante conteste l'étendue du droit de visite fixée par le Tribunal. Elle conclut à un exercice restreint des relations personnelles, sans nuitées et sans vacances. 4.1.1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131 III 209 consid. 5; arrêts du Tribunal fédéral 5A_497/2017 du 7 juin 2018 consid. 4.1; 5A_618/2017 du 2 février 2018 consid. 4.2; 5A_184/2017 du 9 juin 2017 consid. 4.1 et les références citées). A cet égard, il est unanimement reconnu que le rapport de l'enfant avec ses deux parents est essentiel et qu'il peut jouer un rôle décisif dans le processus de recherche d'identité de l'enfant (ATF 130 III 585 consid. 2.2.2; 127 III 295 consid. 4a; 123 III 445 consid. 3c; arrêts du Tribunal fédéral 5A_887/2017 du 16 février 2018 consid. 5.3; 5A_184/2017 du 8 juin 2017 consid. 4.1; 5A_586/2012 du 12 décembre 2012 consid. 4.2). En matière d'attribution des droits parentaux, le bien de l'enfant constitue la règle fondamentale (ATF 141 III 328 consid. 5.4), les intérêts des parents devant être relégués au second plan (ATF 142 III 617 consid. 3.2.3; 131 III 209 consid. 5). Il faut choisir la solution qui, au regard des données de l'espèce, est la mieux à même d'assurer à l'enfant la stabilité des relations nécessaires à un développement harmonieux des points de vue affectif, psychique, moral et intellectuel (ATF 136 I 178 consid. 5.3). 4.1.2 Aux fins de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il peut toutefois s'écarter des conclusions d'un rapport établi par un tel service à des conditions moins strictes que celles applicables lorsqu'il s'agit d'une expertise judiciaire (ATF 142 III 617 consid. 3.2.3; arrêt du Tribunal fédéral 5A_805/2019 du 27 mars 2019 consid. 4.1 et les arrêts cités).</w:t>
      </w:r>
    </w:p>
    <w:p>
      <w:r>
        <w:t>- 14/18 -</w:t>
      </w:r>
    </w:p>
    <w:p>
      <w:r>
        <w:t>C/14462/2018</w:t>
      </w:r>
    </w:p>
    <w:p>
      <w:r>
        <w:rPr>
          <w:b/>
        </w:rPr>
        <w:t>E. 4.2</w:t>
      </w:r>
    </w:p>
    <w:p>
      <w:r>
        <w:t>En l'espèce, il n'y a pas lieu de douter des capacités éducatives du père, qui n'ont pas été remises en cause par le SEASP. Les inquiétudes formulées par la mère quant à l'aptitude du père à s'occuper adéquatement de ses enfants ne trouvent aucune assise dans le dossier. Si certains agissements du père envers la mère ne sauraient être cautionnés, de tels comportements n'infirment pas, à eux seuls, ses compétences parentales. Dans sa relation avec ses enfants, l'intimé s'est montré présent au-delà de la séparation conjugale (ce qui a été relevé par le SEASP), ainsi que conciliant tout au long de la procédure, notamment en ne s'opposant pas aux décisions de la mère et en acceptant un droit de visite restreint en présence de cette dernière alors qu'il concluait à un droit de visite usuel. Il a également fait preuve de bienveillance envers les enfants, notamment lorsqu'il a déclaré en audience qu'il ne souhaitait pas perturber davantage son fils aîné en lui demandant de passer immédiatement des nuits chez lui. Quant aux violences domestiques alléguées par l'appelante, celles-ci n'ont pu être objectivées qu'à deux reprises (une fois sur l'aîné et une fois sur le cadet), de sorte que, faute d'autres éléments, il y a lieu de considérer qu'il s'agit de cas isolés ne remettant pas en cause les capacités parentales du père, qui sont, partant, équivalentes à celles de la mère. Il résulte en outre de la procédure que les parents arrivent à communiquer et à coopérer utilement dans l'intérêt des enfants quant au droit de visite, ce qui est notamment attesté par les nombreuses activités effectuées en famille après la séparation. Afin que père et fils puissent tisser des liens solides entre eux, il est nécessaire qu'ils passent davantage de temps ensemble, hors présence de la mère. En effet, jusqu'à aujourd'hui, les enfants n'ont connu que peu de moments seuls avec leur père. Au vu de leur âge (8 et 7 ans) et des élargissements du droit de visite opérés progressivement depuis plus 18 mois, il apparaît conforme à leur intérêt qu'ils bénéficient dorénavant d'un droit de visite à la journée, le samedi et le dimanche de 10h00 à 19h00, un week-end sur deux, puis, dans quelques mois, d'un droit de visite usuel d'un week-end sur deux, du samedi 10h00 au dimanche 19h00 (nuitée comprise), ainsi que préconisé par le SEASP. Au vu des difficultés rencontrées par l'aîné aux niveaux tant scolaire que médical et des craintes exprimées par ce dernier quant au fait de "déménager" chez son père, l'introduction, dans un troisième temps, d'un droit de visite de plusieurs nuits d'affilée, du vendredi soir à la sortie de l'école au lundi matin à la reprise de l'école, ne se justifie que dans plusieurs mois, une fois que père et fils se seront habitués à passer des moments et des nuits ensemble, hors présence de la mère. Un tel élargissement pourra ainsi intervenir à la rentrée scolaire prochaine, plus précisément à compter du mois de septembre 2021.</w:t>
      </w:r>
    </w:p>
    <w:p>
      <w:r>
        <w:t>- 15/18 -</w:t>
      </w:r>
    </w:p>
    <w:p>
      <w:r>
        <w:t>C/14462/2018 L'introduction d'une nuitée en semaine ne se justifie pas, puisqu'elle engendrerait des complications inutiles quant à l'organisation de la vie scolaire et qu'elle n'est plus requise par le père. Quant aux vacances scolaires, il n'y a pas lieu de revenir sur la répartition par moitié effectuée par le premier juge, qui est conforme à l'intérêt des enfants. Compte tenu de la bonne entente des parents, qui, malgré quelques discordes, ont réussi à organiser le droit de visite depuis maintenant deux ans et demi sans trop de difficultés, l'instauration d'une curatelle d'organisation et de surveillance du droit de visite ne se justifie pas. La mère a en effet démontré depuis plusieurs mois maintenant qu'elle était capable de faire confiance au père et de lui laisser les enfants pendant plusieurs heures d'affilée sans interférer dans leurs relations. Il résulte de ce qui précède que le droit de visite du père sera fixé durant deux mois un week-end sur deux à la journée, le samedi et le dimanche de 10h00 à 19h00, puis, dès le troisième mois, un week-end sur deux, du samedi 10h00 au dimanche 19h00 (une nuit comprise). Dès le mois de septembre 2021, le droit de visite sera fixé du vendredi soir à la sortie de l'école au lundi matin à la reprise de l'école. Vu l'absence de curatelle instaurée, il se justifie de reprendre le calendrier des vacances préavisé par le SEASP. Ainsi, durant les années paires, le père aura la totalité des vacances de février, la première moitié des vacances de Pâques, la première moitié des vacances de juillet et d'août (n'excédant pas deux semaines consécutives), l'Ascension, le Jeûne genevois ainsi que la deuxième moitié des vacances de Noël. Durant les années impaires, le père aura la deuxième moitié des vacances de Pâques, la deuxième moitié des vacances de juillet et d'août (n'excédant pas deux semaines consécutives), le 1er mai, Pentecôte, la totalité des vacances d'automne ainsi que la première moitié des vacances de Noël. Ces modalités sont conformes à l'intérêt des enfants, puisque les premières vacances entre père et fils n'interviendront qu'à la fin de l'année 2020, ce qui leur laisse le temps de se familiariser avec la nouvelle organisation familiale et d'introduire les nuitées avant de passer toute une semaine ensemble. Tous trois disposeront ensuite de plusieurs mois avant les prochaines vacances communes, fixées à Pâques 2021. Il s'ensuit que les chiffre 3 et 4 du jugement querellé seront annulés et qu'il sera statué sur le droit de visite du père dans le sens précité.</w:t>
      </w:r>
    </w:p>
    <w:p>
      <w:r>
        <w:rPr>
          <w:b/>
        </w:rPr>
        <w:t>E. 5.1</w:t>
      </w:r>
    </w:p>
    <w:p>
      <w:r>
        <w:t>Lorsque l'instance d'appel réforme en tout ou en partie le jugement entrepris, elle se prononce aussi sur les frais de première instance (art. 318 al. 3 CPC).</w:t>
      </w:r>
    </w:p>
    <w:p>
      <w:r>
        <w:t>Les frais sont mis à la charge de la partie qui succombe (art. 106 al. 1 CPC). Le tribunal peut toutefois s'écarter des règles générales et répartir les frais selon sa</w:t>
      </w:r>
    </w:p>
    <w:p>
      <w:r>
        <w:t>- 16/18 -</w:t>
      </w:r>
    </w:p>
    <w:p>
      <w:r>
        <w:t>C/14462/2018 libre appréciation, en particulier lorsque le litige relève du droit de la famille (art. 107 al. 1 let. c CPC).</w:t>
      </w:r>
    </w:p>
    <w:p>
      <w:r>
        <w:t>En l'espèce, la quotité des frais de première instance n'est pas critiquée par les parties et leur répartition pour moitié à charge de chaque partie est conforme aux normes précitées vu la nature et l'issue du litige. La décision de refus d'allocation de dépens est également conforme auxdites normes. Le jugement querellé sera donc confirmé sur ces points.</w:t>
      </w:r>
    </w:p>
    <w:p>
      <w:r>
        <w:rPr>
          <w:b/>
        </w:rPr>
        <w:t>E. 5.2</w:t>
      </w:r>
    </w:p>
    <w:p>
      <w:r>
        <w:t>Les frais judiciaires d'appel seront fixés à 800 fr. (art. 95 al. 1 let. a et al. 2, 96, 104 al. 1 et 105 al. 1 CPC ; art. 32 et 35 RTFMC) et mis à la charge des parties pour moitié chacune, compte tenu de la nature familiale du litige (art. 107 al. 1 let. c CPC). Dès lors que l'appelante plaide au bénéfice de l'assistance judiciaire, sa part en 400 fr. sera provisoirement laissée à la charge de l'Etat, qui pourra en demander le remboursement ultérieurement (art. 122 al. 1 let. b et 123 al. 1 CPC; art. 19 RAJ). L'intimé sera, quant à lui, condamné à verser 400 fr. à l'Etat de Genève, soit pour lui les Services financiers du Pouvoir judiciaire, au titre des frais judiciaires. Pour les mêmes motifs, chaque partie conservera à sa charge ses propres dépens d'appel (art. 95 al. 1 let. b et al. 3, 104 al. 1, 105 al. 2 et 107 al. 1 let. c CPC). * * * * *</w:t>
      </w:r>
    </w:p>
    <w:p>
      <w:r>
        <w:t>- 17/18 -</w:t>
      </w:r>
    </w:p>
    <w:p>
      <w:r>
        <w:t>C/14462/2018 PAR CES MOTIFS, La Chambre civile : A la forme : Déclare recevable l'appel interjeté le 12 mars 2020 par A______ contre les chiffres 1, 3 et 4 du dispositif du jugement JTPI/2096/2020 rendu le 5 février 2020 par le Tribunal de première instance dans la cause C/14462/2018-13. Au fond : Annule les chiffres 3 et 4 du dispositif du jugement entrepris et statuant à nouveau : Réserve à B______ un droit de visite sur ses enfants C______ et D______, lequel s'exercera, sauf accord contraire des parents, durant deux mois, un week-end sur deux, à la journée, le samedi et le dimanche de 10h00 à 19h00, puis, dès le troisième mois, un week-end sur deux, du samedi à 10h00 au dimanche à 19h00 (une nuitée comprise), puis, dès le mois de septembre 2021, du vendredi soir à la sortie de l'école au lundi matin à la reprise de l'école, ainsi que durant la moitié des vacances scolaires, à savoir, durant les années paires, la totalité des vacances de février, la première moitié des vacances de Pâques, la première moitié des vacances de juillet et d'août (n'excédant pas deux semaines consécutives), l'Ascension, le Jeûne genevois ainsi que la deuxième moitié des vacances de Noël et, durant les années impaires, la deuxième moitié des vacances de Pâques, la deuxième moitié des vacances de juillet et d'août (n'excédant pas deux semaines consécutives), le 1er mai, Pentecôte, la totalité des vacances d'automne ainsi que la première moitié des vacances de Noël. Confirme le jugement entrepris pour le surplus. Déboute les parties de toutes autres conclusions. Sur les frais : Arrête les frais judiciaires d'appel à 800 fr. et les met à la charge de chacune des parties par moitié. Laisse provisoirement la part de 400 fr. imputée à A______ à la charge de l'Etat de Genève, sous réserve d'une décision de l'Assistance juridique. Condamne B______ à verser 400 fr. à l'Etat de Genève, soit pour lui les Services financiers du Pouvoir judiciaire au titre des frais judiciaires d'appel. Dit que chaque partie supporte ses propres dépens d'appel.</w:t>
      </w:r>
    </w:p>
    <w:p>
      <w:r>
        <w:t>- 18/18 -</w:t>
      </w:r>
    </w:p>
    <w:p>
      <w:r>
        <w:t>C/14462/2018 Siégeant : Monsieur Ivo BUETTI, président; Madame Sylvie DROIN, Monsieur Jean REYMOND, juges; Madame Camille LESTEVEN, greffière.</w:t>
      </w:r>
    </w:p>
    <w:p>
      <w:r>
        <w:t>Le président : Ivo BUETTI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