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ACJC/1432/2024 vom 15. November 2024</w:t>
      </w:r>
    </w:p>
    <w:p>
      <w:r>
        <w:t>GE Cour de justice, 2024-11-15, FR</w:t>
      </w:r>
    </w:p>
    <w:p>
      <w:r>
        <w:rPr>
          <w:b/>
        </w:rPr>
        <w:t xml:space="preserve">Quelle: </w:t>
      </w:r>
      <w:r>
        <w:t>https://mcp.opencaselaw.ch/entscheid/ge_gerichte_ACJC_1432_2024</w:t>
      </w:r>
    </w:p>
    <w:p>
      <w:r>
        <w:t>FR: GE_GERICHTE ACJC/1432/2024 du 15 novembre 2024</w:t>
      </w:r>
    </w:p>
    <w:p>
      <w:r>
        <w:t>IT: GE_GERICHTE ACJC/1432/2024 del 15 novembre 2024</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 Lorsque les décisions finales, incidentes et provisionnelles de première instance ne peuvent pas faire l’objet d’un appel, la voie du recours demeure ouverte (art. 319 let. a CPC).</w:t>
      </w:r>
    </w:p>
    <w:p>
      <w:r>
        <w:t>En l'espèce, compte tenu de la valeur litigieuse inférieure à 10'000 fr., seule la voie du recours est ouverte.</w:t>
      </w:r>
    </w:p>
    <w:p>
      <w:r>
        <w:rPr>
          <w:b/>
        </w:rPr>
        <w:t>E. 1.2</w:t>
      </w:r>
    </w:p>
    <w:p>
      <w:r>
        <w:t>Introduit en temps utile et selon la forme prescrite par la loi (art. 142 al. 3 CPC; 321 al. 1 et 2 CPC), le recours est recevable.</w:t>
      </w:r>
    </w:p>
    <w:p>
      <w:r>
        <w:rPr>
          <w:b/>
        </w:rPr>
        <w:t>E. 1.3</w:t>
      </w:r>
    </w:p>
    <w:p>
      <w:r>
        <w:t>Selon l'art. 320 CPC, le recours peut être formé pour violation du droit (let. a) et constatation manifestement inexacte des faits (let. b).</w:t>
      </w:r>
    </w:p>
    <w:p>
      <w:r>
        <w:rPr>
          <w:b/>
        </w:rPr>
        <w:t>E. 2</w:t>
      </w:r>
    </w:p>
    <w:p>
      <w:r>
        <w:t>Les recourants soutiennent que la requête en inscription provisoire de l'hypothèque légale dirigée à leur encontre ne contenait pas d'allégations suffisamment précises sur les faits pertinents et reprochent au Tribunal, en admettant ladite requête, d'avoir commis une violation de la maxime des débats, ainsi qu'une fausse application du fardeau de la preuve.</w:t>
      </w:r>
    </w:p>
    <w:p>
      <w:r>
        <w:rPr>
          <w:b/>
        </w:rPr>
        <w:t>E. 2.1</w:t>
      </w:r>
    </w:p>
    <w:p>
      <w:r>
        <w:t>La requête en inscription provisoire d'une hypothèque légale est une mesure provisionnelle (art. 261 ss CPC), soumise à la procédure sommaire (art. 248 ss,</w:t>
      </w:r>
    </w:p>
    <w:p>
      <w:r>
        <w:t>- 5/10 -</w:t>
      </w:r>
    </w:p>
    <w:p>
      <w:r>
        <w:t>C/6569/2024 249 let. d ch. 5 et 11 CPC; ATF 137 III 563 consid. 3.3) et à la maxime des débats (art. 55 al. 1 CPC cum art. 255 CPC a contrario).</w:t>
      </w:r>
    </w:p>
    <w:p>
      <w:r>
        <w:rPr>
          <w:b/>
        </w:rPr>
        <w:t>E. 2.1.1</w:t>
      </w:r>
    </w:p>
    <w:p>
      <w:r>
        <w:t>En vertu de l'art. 837 al. 1 ch. 3 CC,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il peut être sauvegardé par l'annotation d'une inscription provisoire (ATF 137 III 563 consid. 3.3; 126 III 462 consid. 2c/aa; arrêts du Tribunal fédéral 5A_630/2021 du 26 novembre 2021 consid. 3.3.2.4; 5A_518/2020 du 22 octobre 2020 consid. 3.1).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5A_203/2023 du 30 août 2023 consid. 2.1; 5A_109/2022 du 15 septembre 2022 consid. 2.2). Le moment déterminant est l'achèvement des travaux, et non pas l'établissement de la facture (ATF 102 II 206 consid. 1b/aa). Le fait que l'entrepreneur présente une facture pour son travail donne toutefois à penser, en règle générale, qu'il estime l'ouvrage achevé (ATF 101 II 253; arrêt du Tribunal fédéral 5A_518/2020 du 22 octobre 2020 consid. 3.1 et les références citées).</w:t>
      </w:r>
    </w:p>
    <w:p>
      <w:r>
        <w:rPr>
          <w:b/>
        </w:rPr>
        <w:t>E. 2.1.2</w:t>
      </w:r>
    </w:p>
    <w:p>
      <w:r>
        <w:t>Conformément à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w:t>
      </w:r>
    </w:p>
    <w:p>
      <w:r>
        <w:t>- 6/10 -</w:t>
      </w:r>
    </w:p>
    <w:p>
      <w:r>
        <w:t>C/6569/2024 élucidée méritant un examen plus ample que celui auquel il peut être procédé dans le cadre d'une instruction sommaire, il convient bien plutôt de laisser au juge de l'action au fond le soin de décider si le droit à l'hypothèque doit en définitive être admis (ATF 102 Ia 81 consid. 2b/bb; 86 I 265 consid. 3; arrêts du Tribunal fédéral 5A_822/2022 du 14 mars 2023 consid. 4.2; 5A_280/2021 du 17 juin 2022 consid. 3.1, publié in RSPC 2023 p. 97; 5A_1047/2020 du 4 août 2021 consid. 3.1). Il en résulte qu'à moins que le droit à la constitution de l'hypothèque n'existe clairement pas, le juge qui en est requis doit ordonner l'inscription provisoire (ATF 102 Ia 81 consid. 2b/bb; arrêt du Tribunal fédéral 5A_658/2023 du 17 janvier 2024 consid. 4.1). Un fait est rendu vraisemblable si le juge, en se basant sur des éléments objectifs, a l'impression que le fait invoqué s'est produit, sans pour autant devoir exclure la possibilité qu'il ait pu se dérouler autrement (ATF 140 III 610 consid. 4.1; 132 III 715 consid. 3.1).</w:t>
      </w:r>
    </w:p>
    <w:p>
      <w:r>
        <w:rPr>
          <w:b/>
        </w:rPr>
        <w:t>E. 2.1.3</w:t>
      </w:r>
    </w:p>
    <w:p>
      <w:r>
        <w:t>Selon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arrêts du Tribunal fédéral 4A_164/2021 du 21 décembre 2021 consid. 3.1; 4A_560/2020 du 27 septembre 2021 consid. 5.1.1 et 5.1.2; 4A_288/2018 du 29 janvier 2019 consid. 3.1.2). Une allégation de fait ne doit pas contenir tous les détails. Il suffit d'affirmer, d'une manière conforme aux usages de la vie, les traits ou les contours essentiels des faits qui relèvent des normes sur lesquelles se fonde la demande (ATF 136 III 322 consid. 3.4.2; arrêt du Tribunal fédéral 4A_259/2023 du 4 octobre 2023 consid. 3.1.1). Par exception, il n'est pas nécessaire d'alléguer explicitement ce qui est manifestement compris dans d'autres allégués, expressément formulés (faits dits implicitement allégués). Le demandeur ne doit alléguer (explicitement) et établir un fait implicite que si le défendeur le conteste (arrêt du Tribunal fédéral 4A_243/2018 du 17 décembre 2018 consid. 4.2.1). Lorsque le demandeur allègue une facture, sans alléguer formellement le montant et le mode de calcul de la prétention - découlant de la facture - dans son mémoire de demande, il faut admettre qu'il allègue le contenu de la facture, sous peine de tomber dans le</w:t>
      </w:r>
    </w:p>
    <w:p>
      <w:r>
        <w:t>- 7/10 -</w:t>
      </w:r>
    </w:p>
    <w:p>
      <w:r>
        <w:t>C/6569/2024 formalisme excessif (arrêt du Tribunal fédéral 4A_146/2015 du 19 août 2015 consid. 5.1).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w:t>
      </w:r>
    </w:p>
    <w:p>
      <w:r>
        <w:rPr>
          <w:b/>
        </w:rPr>
        <w:t>E. 2.2.1</w:t>
      </w:r>
    </w:p>
    <w:p>
      <w:r>
        <w:t>En l'espèce, les recourants soutiennent que l'intimée n'a pas suffisamment allégué les faits relatifs à la conclusion du contrat, aux travaux effectués, à l'effet des travaux sur l'immeuble, ainsi qu'à la date de l'achèvement des travaux, ce qui aurait dû conduire le premier juge à rejeter leur requête. Or, la requête initiale de l'intimée décrit, en son allégué n. 2, la relation des parties en indiquant que les recourants lui ont confié des travaux de maçonnerie, parquet et fenêtres. Cet allégué est complété par la facture d'acompte du 14 juillet 2023 et la facture finale du 23 novembre 2023 en tant qu'offres de preuve, lesquelles contiennent une description détaillée des travaux à réaliser et les montants réclamés à ce titre à hauteur de respectivement 24'158 fr. 20 et 16'201 fr. 45. L'intimée a précisé avoir réalisé l'ensemble des travaux dans les règles de l'art (allégué n. 5), tandis que ses parties adverses ne s'étaient pas acquittées de leurs obligations en paiement en laissant un solde impayé (allégués n. 3 et 6). La conclusion du contrat entre les parties est manifestement comprise dans ces allégués. En effet, en réclamant le paiement des factures pour la réalisation des travaux confiés, l'intimée fondait implicitement ses prétentions sur un contrat conclu avec les recourants. Ces derniers n'ont d'ailleurs jamais contesté l'existence d'un contrat les liant à l'intimée. S'ils ont certes émis des griefs quant à sa bonne exécution, ils n'en ont soulevé aucun s'agissant de sa validité, ni sur le fait qu'ils ont confié des travaux de maçonnerie, parquet et fenêtres à l'intimée moyennant rémunération. Quoi qu'il en soit, les allégués de la requête comprennent les éléments de fait constitutifs du contrat d'entreprise. Concernant les travaux effectués et l'effet de ceux-ci sur l'immeuble, ils résultent de l'allégué n. 2 précité qui fait état de travaux de maçonnerie, parquet et fenêtres, étayés par les factures. Dans la mesure où l'allégué de l'intimée contenait les informations générales sur les travaux commandés qui permettaient de comprendre leur nature et renvoyait pour le surplus aux pièces visées qui contenaient une description détaillée desdits travaux, il n'était pas nécessaire,</w:t>
      </w:r>
    </w:p>
    <w:p>
      <w:r>
        <w:t>- 8/10 -</w:t>
      </w:r>
    </w:p>
    <w:p>
      <w:r>
        <w:t>C/6569/2024 contrairement à ce que soutiennent les recourants, que l'intimée reprenne le détail des postes dans sa requête. Les recourants n'ont du reste pas allégué qu'ils n'auraient pas compris quels travaux la facture du 23 novembre 2023 concernait. Quant à la date de l'achèvement des travaux, la requête indique sans ambiguïté que la fin des travaux est survenue le 23 novembre 2023: "A la fin de travaux, survenue le 23 novembre 2023, une facture finale a été établie" (allégué n. 5). Contrairement à l'avis des recourants, le terme employé "fin de travaux" peut être compris, selon le langage courant et les usages de la vie, comme étant la fin du chantier et la livraison des travaux confiés. L'intimée a, par ailleurs, contesté que son intervention après cette date aurait porté sur des travaux de finition, ce qui ne fait que renforcer le fait que son allégué correspondait, selon elle, à l'achèvement des travaux au sens de 839 al. 2 CC. Il s'ensuit que l'ensemble des faits constitutifs de la prétention tendant à l'inscription d'une hypothèque légale des artisans et entrepreneurs ont été suffisamment allégués par l'intimée. Ce grief sera rejeté.</w:t>
      </w:r>
    </w:p>
    <w:p>
      <w:r>
        <w:rPr>
          <w:b/>
        </w:rPr>
        <w:t>E. 2.2.2</w:t>
      </w:r>
    </w:p>
    <w:p>
      <w:r>
        <w:t>Dans un second moyen, les recourants se plaignent d'une violation du fardeau de la preuve, motif pris que les allégués de leur partie adverse ne sont pas suffisamment établis, en particulier sur la date de l'achèvement des travaux. Il sied ici de rappeler qu'en matière d'inscription provisoire d'une hypothèque légale, le juge statue sur la base de la simple vraisemblance, les exigences de preuves étant limitées quant à l'existence du droit allégué puisque la requête ne peut être refusée que si l'existence du droit à l'inscription paraît exclue ou hautement invraisemblable. En l'occurrence, les allégués contenus dans la requête reposent sur plusieurs pièces crédibles et cohérentes. Les factures établies par l'intimée, le descriptif des travaux y figurant, les courriers de mise en demeure, ainsi que la position adoptée par les parties qui reconnaissent la réalisation de travaux sur le bien-fonds des recourants, sont en l'état suffisants pour fonder le degré de vraisemblance minimum requis dans le contexte d'une inscription provisoire d'une hypothèque légale. S'agissant plus spécifiquement de la date de l'achèvement des travaux, les parties indiquent chacune une date différente, dont aucune n'emporte à ce stade conviction sur l'autre. Bien que l'établissement de la facture finale ne contienne pas d'indication à cet égard, elle constitue néanmoins un indice selon lequel l'entrepreneur estime son ouvrage achevé et il n'apparaît pas improbable qu'elle puisse être adressée à ce moment-là. A l'inverse, les pièces produites par les recourants, soit les photos et le message WhatsApp, ne permettent pas de retenir</w:t>
      </w:r>
    </w:p>
    <w:p>
      <w:r>
        <w:t>- 9/10 -</w:t>
      </w:r>
    </w:p>
    <w:p>
      <w:r>
        <w:t>C/6569/2024 que l'ensemble des travaux aurait été terminé à une date antérieure, comme ils le soutiennent. Dès lors c'est à bon droit que le Tribunal a retenu que le respect du délai de quatre mois pour requérir l'inscription de l'hypothèque n'apparaissait pas hautement invraisemblable. Le Tribunal a ainsi correctement appliqué les règles du fardeau de la preuve, étant rappelé qu'en cas de doute sur l'existence du droit à l'inscription, il convient d'admettre la requête. Ce grief sera donc également rejeté.</w:t>
      </w:r>
    </w:p>
    <w:p>
      <w:r>
        <w:rPr>
          <w:b/>
        </w:rPr>
        <w:t>E. 2.3</w:t>
      </w:r>
    </w:p>
    <w:p>
      <w:r>
        <w:t>Le recours s'avère infondé et sera rejeté.</w:t>
      </w:r>
    </w:p>
    <w:p>
      <w:r>
        <w:rPr>
          <w:b/>
        </w:rPr>
        <w:t>E. 3</w:t>
      </w:r>
    </w:p>
    <w:p>
      <w:r>
        <w:t>Les frais de recours seront mis à la charge des recourants, qui succombent (art. 106 al. 1 CPC). Ils seront arrêtés à 960 fr. (art. 26 et 38 RTFMC) et entièrement compensés avec l'avance du même montant fournie par ces derniers, qui demeure acquise à l'Etat de Genève (art. 111 al. 1 CPC).</w:t>
      </w:r>
    </w:p>
    <w:p>
      <w:r>
        <w:t>Les recourants seront, en outre, condamnés aux dépens de leur partie adverse, fixés à 600 fr. (art. 85, 88 et 90 RTFMC). * * * * *</w:t>
      </w:r>
    </w:p>
    <w:p>
      <w:r>
        <w:t>- 10/10 -</w:t>
      </w:r>
    </w:p>
    <w:p>
      <w:r>
        <w:t>C/6569/2024 PAR CES MOTIFS, La Chambre civile : A la forme : Déclare recevable le recours interjeté le 26 août 2024 par A______ et B______ contre l'ordonnance OTPI/492/2024 rendue le 12 août 2024 par le Tribunal de première instance dans la cause C/6569/2024–12 SP. Au fond : Le rejette. Déboute les parties de toutes autres conclusions. Sur les frais de recours : Arrête les frais judiciaires de recours à 960 fr., les met à la charge solidaire de A______ et B______ et dit qu'ils sont entièrement compensés avec l'avance de frais fournie par ces derniers. Condamne A______ et B______, pris solidairement, à verser à C______ SARL 600 fr. à titre de dépens de recours. Siégeant : Monsieur Laurent RIEBEN, président; Madame Fabienne GEISINGER-MARIETHOZ, Madame Nathalie RAPP, juges; Madame Barbara NEVEUX, greffière. Le président : Laurent RIEBEN</w:t>
      </w:r>
    </w:p>
    <w:p>
      <w:r>
        <w:t>La greffière : Barbara NEVEUX</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