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ACJC/1431/2020 vom 29. Oktober 2020</w:t>
      </w:r>
    </w:p>
    <w:p>
      <w:r>
        <w:t>GE Cour de justice, 2020-10-29, FR</w:t>
      </w:r>
    </w:p>
    <w:p>
      <w:r>
        <w:rPr>
          <w:b/>
        </w:rPr>
        <w:t xml:space="preserve">Quelle: </w:t>
      </w:r>
      <w:r>
        <w:t>https://mcp.opencaselaw.ch/entscheid/ge_gerichte_ACJC_1431_2020</w:t>
      </w:r>
    </w:p>
    <w:p>
      <w:r>
        <w:t>FR: GE_GERICHTE ACJC/1431/2020 du 29 octobre 2020</w:t>
      </w:r>
    </w:p>
    <w:p>
      <w:r>
        <w:t>IT: GE_GERICHTE ACJC/1431/2020 del 29 ottobre 2020</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sur les droits parentaux, soit sur une affaire non pécuniaire, la voie de l'appel est ouverte indépendamment de la valeur litigieuse (arrêts du Tribunal fédéral 5A_781/2015 du 14 mars 2016 consid. 1 et 5A_331/2015 du 20 janvier 2016 consid. 1). Les jugements de mesures protectrices étant régis par la procédure sommaire selon l'art. 271 CPC, le délai d'introduction de l'appel est de 10 jours (art. 314 al. 1 CPC). En l'espèce, l'appel, formé en temps utile et selon la forme prescrite par la loi (art. 130 al. 1 et 311 al. 1 CPC), est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L'appelant a produit des pièces nouvelles relatives aux relations personnelles.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- 7/10 -</w:t>
      </w:r>
    </w:p>
    <w:p>
      <w:r>
        <w:t>C/24673/2019 Lorsque la procédure est soumise à la maxime inquisitoire illimitée, les parties peuvent présenter des nova en appel même si les conditions de l'art. 317 al. 1 CPC ne sont pas réunies (ATF 144 III 349 consid. 4.2.1). Les pièces nouvelles produites en appel sont, ainsi, recevables.</w:t>
      </w:r>
    </w:p>
    <w:p>
      <w:r>
        <w:rPr>
          <w:b/>
        </w:rPr>
        <w:t>E. 2</w:t>
      </w:r>
    </w:p>
    <w:p>
      <w:r>
        <w:t>L'appelant sollicite l'instauration d'un droit de visite en sa faveur sur les enfants, dont l'étendue et la fréquence seraient déterminées en fonction des évaluations du SPMi et de la Fondation K_______ et réexaminées à sa libération de prison.</w:t>
      </w:r>
    </w:p>
    <w:p>
      <w:r>
        <w:t>Il fait valoir que tant ses médecins (selon des attestations et des déclarations au Ministère public de ses médecins entre septembre 2019 et avril 2020) que le SEASP font état de ses bonnes relations avec ses enfants, que la décision du premier juge revient à laisser à la mère le droit de décider de l'opportunité des visites en prison, que celle-ci refuse que les enfants voient leur père durant sa détention, qu'il devrait prochainement rencontrer un représentant du K_______ pour évaluer les possibilités des visites et que l'intervention de tiers neutres permettrait d'assurer les visites, sa détention ne devant plus être un obstacle au maintien du lien parental.</w:t>
      </w:r>
    </w:p>
    <w:p>
      <w:r>
        <w:t>L'intimée souligne ne jamais s'être opposée à l'exercice des relations personnelles, hormis en prison. Selon elle, les conclusions de l'appelant paraissent prématurées.</w:t>
      </w:r>
    </w:p>
    <w:p>
      <w:r>
        <w:rPr>
          <w:b/>
        </w:rPr>
        <w:t>E. 2.1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w:t>
      </w:r>
    </w:p>
    <w:p>
      <w:r>
        <w:t>- 8/10 -</w:t>
      </w:r>
    </w:p>
    <w:p>
      <w:r>
        <w:t>C/24673/2019 peuvent être maintenus dans des limites supportables pour l'enfant (ATF 120 II 229 consid. 3b/aa; arrêts du Tribunal fédéral 5A_699/2017 du 24 octobre 2017 consid. 5.1; 5A_184/2017 du 9 juin 2017 consid. 4.1 et les références).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5A_699/2017 du 24 octobre 2017 consid. 5.1; 5A_184/2017 du 9 juin 2017 consid. 4.1 et les références).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5A_568/2017 du 21 novembre 2017 consid. 5.1; 5A_699/2017 du 24 octobre 2017 consid. 5.1; 5A_184/2017 du 9 juin 2017 consid. 4.1).</w:t>
      </w:r>
    </w:p>
    <w:p>
      <w:r>
        <w:rPr>
          <w:b/>
        </w:rPr>
        <w:t>E. 2.2</w:t>
      </w:r>
    </w:p>
    <w:p>
      <w:r>
        <w:t>Le juge n'est pas lié par les conclusions du SPMi ou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2.3</w:t>
      </w:r>
    </w:p>
    <w:p>
      <w:r>
        <w:t>En l'espèce, il n'est pas contesté que l'appelant et les enfants sont mutuellement attachés et qu'il convient de maintenir autant que possible ce lien dans l'intérêt de ces derniers, ce à quoi la mère ne s'est jamais opposée, hormis durant la détention de son époux. Cela étant, à la connaissance de la Cour, l'appelant demeure détenu et il n'a fourni aucun renseignement sur l'évolution de son état psychique et sur l'avancement des démarches qu'il a entreprises auprès de la Fondation K_______ pour obtenir des mesures de soutien en vue de la mise en place de conditions adéquates pour l'exercice des relations personnelles.</w:t>
      </w:r>
    </w:p>
    <w:p>
      <w:r>
        <w:t>Il apparaît, ainsi, que la demande de l'appelant est, en l'état, prématurée et c'est à raison que le Tribunal, se conformant aux recommandations du SEASP du</w:t>
      </w:r>
    </w:p>
    <w:p>
      <w:r>
        <w:t>- 9/10 -</w:t>
      </w:r>
    </w:p>
    <w:p>
      <w:r>
        <w:t>C/24673/2019</w:t>
      </w:r>
    </w:p>
    <w:p>
      <w:r>
        <w:rPr>
          <w:b/>
        </w:rPr>
        <w:t>E. 6</w:t>
      </w:r>
    </w:p>
    <w:p>
      <w:r>
        <w:t>mai 2020, a renoncé à fixer un droit de visite sur les enfants en faveur de l'appelant.</w:t>
      </w:r>
    </w:p>
    <w:p>
      <w:r>
        <w:t>Par conséquent, le chiffre 14 du dispositif du jugement entrepris sera confirmé. 3.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à 800 fr. (art. 31 et 37 RTFMC).</w:t>
      </w:r>
    </w:p>
    <w:p>
      <w:r>
        <w:t>Pour des motifs d'équité liés à la nature, ils seront répartis à parts égales entre les parties (art. 95, 104 al. 1, 105, 106 al. 1 et 107 al. 1 let. c CPC). Dans la mesure où elles plaident au bénéfice de l'assistance juridique, leurs frais judiciaires seront provisoirement supportés par l'Etat de Genève (art. 122 al. 1 let. b CPC), étant rappelé que les bénéficiaires de l'assistance juridique sont tenus au remboursement des frais judiciaires mis à la charge de l'Etat de Genève dans la mesure de l'art. 123 CPC (art. 19 RAJ). Pour les mêmes motifs, chaque partie supportera ses propres dépens d'appel (art. 107 al. 1 let. c CPC). * * * * *</w:t>
      </w:r>
    </w:p>
    <w:p>
      <w:r>
        <w:t>- 10/10 -</w:t>
      </w:r>
    </w:p>
    <w:p>
      <w:r>
        <w:t>C/24673/2019 PAR CES MOTIFS, La Chambre civile : A la forme : Déclare recevable l'appel interjeté le 29 juin 2020 par A_______ contre le chiffre 14 du dispositif du jugement JTPI/7590/2020 rendu le 18 juin 2020 par le Tribunal de première instance dans la cause C/24673/2019-5. Au fond : Confirme le chiffre 14 du dispositif du jugement entrepris. Déboute les parties de toutes autres décisions. Sur les frais : Arrête les frais judiciaires d'appel à 800 fr. et les met à la charge des parties par moitié chacune. Dit qu'ils sont provisoirement supportés par l'Etat de Genève, vu l'octroi de l'assistance judiciaire. Dit que chaque partie supporte ses propres dépens d'appel. Siégeant : Monsieur Ivo BUETTI, président; Madame Sylvie DROIN, Monsieur Jean REYMOND,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