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ACJC/1431/2011 vom 4. November 2011</w:t>
      </w:r>
    </w:p>
    <w:p>
      <w:r>
        <w:t>GE Cour de justice, 2011-11-04, FR</w:t>
      </w:r>
    </w:p>
    <w:p>
      <w:r>
        <w:rPr>
          <w:b/>
        </w:rPr>
        <w:t xml:space="preserve">Quelle: </w:t>
      </w:r>
      <w:r>
        <w:t>https://mcp.opencaselaw.ch/entscheid/ge_gerichte_ACJC_1431_2011</w:t>
      </w:r>
    </w:p>
    <w:p>
      <w:r>
        <w:t>FR: GE_GERICHTE ACJC/1431/2011 du 4 novembre 2011</w:t>
      </w:r>
    </w:p>
    <w:p>
      <w:r>
        <w:t>IT: GE_GERICHTE ACJC/1431/2011 del 4 novembre 2011</w:t>
      </w:r>
    </w:p>
    <w:p>
      <w:pPr>
        <w:pStyle w:val="Heading2"/>
      </w:pPr>
      <w:r>
        <w:t>Regeste</w:t>
      </w:r>
    </w:p>
    <w:p>
      <w:r>
        <w:t>Résumé: 1. Lorsque la maxime d'office est applicable, le principe de la force de chose jugée partielle (art. 315 al. 1 CPC) prime dans ce cas la maxime d'office et empêche la juridiction de deuxième instance de faire porter son examen, ex officio, sur des matières non litigieuses (consid. 3.1). 2. Lorsque la procédure est soumise à la maxime inquisitoire, les faits et moyens de preuve nouveaux peuvent être invoqués jusqu'à l'entrée en délibération de l'instance d'appel (consid. 4.1).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a été interjeté dans le délai de dix jours (art. 271 et 314 al. 1 CPC) et suivant la forme prescrite par la loi (art. 130, 131, 311 al. 1 CPC). Il est ainsi recevable.</w:t>
      </w:r>
    </w:p>
    <w:p>
      <w:r>
        <w:t>S'agissant d'un appel fondé sur la contribution d'entretien de la famille, la valeur litigieuse est supérieure à 10'000 fr. (3'170 fr. x 12 x 20) telle que prévue à l'art. 92 al. 2 CPC. La voie de l'appel est ainsi ouverte (art. 308 al. 1 let. b et al. 2 CPC), de sorte que la Cour revoit la cause avec un plein pouvoir d'examen (art. 310 CPC; HOHL, Procédure civile, tome II, 2010, n. 2314 et 2416; RÉTORNAZ, L'appel et le recours, in Procédure civile suisse, 2010, p. 349 ss, n. 121).</w:t>
      </w:r>
    </w:p>
    <w:p>
      <w:r>
        <w:t>- 7/17 -</w:t>
      </w:r>
    </w:p>
    <w:p>
      <w:r>
        <w:t>C/2462/2011</w:t>
      </w:r>
    </w:p>
    <w:p>
      <w:r>
        <w:rPr>
          <w:b/>
        </w:rPr>
        <w:t>E. 3</w:t>
      </w:r>
    </w:p>
    <w:p>
      <w:r>
        <w:t>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w:t>
      </w:r>
    </w:p>
    <w:p>
      <w:r>
        <w:t>Les mesures protectrices de l'union conjugale sont soumises à la procédure sommaire et la maxime inquisitoire est applicable en appel (art. 271 let. a et 272 CPC; GASSER/RICKLI, ZPO Kurzkommentar, 2010, n. 4 zu art. 316; HOHL, Procédure civile, tome II,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w:t>
      </w:r>
    </w:p>
    <w:p>
      <w:r>
        <w:rPr>
          <w:b/>
        </w:rPr>
        <w:t>E. 3.1</w:t>
      </w:r>
    </w:p>
    <w:p>
      <w:r>
        <w:t>Dans la mesure où le litige a trait à la contribution à l'entretien de la famille, dont des enfants mineurs, la maxime d'office est également applicable (art. 296 CPC; HOFMANN/LUSCHER, Le code de procédure civile, 2009, p. 185). Elle est aussi de rigueur en deuxième instance cantonale (TAPPY, Les procédures en droit matrimonial, in Procédure civile suisse, Neuchâtel, 2010, p. 325). La Cour n'est ainsi pas liée par les conclusions des parties, mais demeure tenue par les dispositions du jugement qui ne sont pas remises en cause en appel; le principe de la force de chose jugée partielle (art. 315 al. 1 CPC) prime dans ce cas la maxime d'office et empêche la juridiction de deuxième instance de faire porter son examen, ex officio, sur des matières non litigieuses, quand bien même seraient-elles soumises à la maxime d'office.</w:t>
      </w:r>
    </w:p>
    <w:p>
      <w:r>
        <w:t>- 8/17 -</w:t>
      </w:r>
    </w:p>
    <w:p>
      <w:r>
        <w:t>C/2462/2011</w:t>
      </w:r>
    </w:p>
    <w:p>
      <w:r>
        <w:rPr>
          <w:b/>
        </w:rPr>
        <w:t>E. 4</w:t>
      </w:r>
    </w:p>
    <w:p>
      <w:r>
        <w:t>La Cour examine en principe, d'office, la recevabilité des pièces produites en appel (REETZ/HILBER, Kommentar zur Schweizerischen Zivilprozessordnung, 2010, n. 26 zu 317).</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w:t>
      </w:r>
    </w:p>
    <w:p>
      <w:r>
        <w:rPr>
          <w:b/>
        </w:rPr>
        <w:t>E. 4.2</w:t>
      </w:r>
    </w:p>
    <w:p>
      <w:r>
        <w:t>En l'espèce, la cause a été gardée à juger le 30 juin 2011 par le premier juge. Il s'ensuit que toutes pièces produites avant cette date sont recevables pour autant qu'elles revêtent la qualité de pièces nouvelles. En revanche, les pièces déposées par l'appelant le 17 août 2011 sont irrecevables. Au demeurant, elles ne sont pas pertinentes pour l'issue du litige.</w:t>
      </w:r>
    </w:p>
    <w:p>
      <w:r>
        <w:t>Établies postérieurement au jugement querellé et produites avec l'acte d'appel, les attestations présentées par l'appelant sont recevables quand bien même elles concernent des faits antérieurs. La facture du 11 mai 2011 concernant l'assurance du véhicule de l'intimée a déjà été produite en première instance. S'agissant des factures de l'animation parascolaire et des restaurants scolaires, bien qu'antérieures à la clôture des débats, ces pièces sont recevables dès lors qu'elles concernent les enfants.</w:t>
      </w:r>
    </w:p>
    <w:p>
      <w:r>
        <w:rPr>
          <w:b/>
        </w:rPr>
        <w:t>E. 5</w:t>
      </w:r>
    </w:p>
    <w:p>
      <w:r>
        <w:t>Seule est litigieuse la contribution à l'entretien de la famille.</w:t>
      </w:r>
    </w:p>
    <w:p>
      <w:r>
        <w:rPr>
          <w:b/>
        </w:rPr>
        <w:t>E. 5.1</w:t>
      </w:r>
    </w:p>
    <w:p>
      <w:r>
        <w:t>La contribution d'entretien fixée sur mesures protectrices de l'union conjugale doit être déterminée selon les dispositions applicables à l'entretien de la famille (art. 163 ss CC; ATF 130 III 537 consid. 3.2 = SJ 2004 I 529). La loi ne prescrit pas de méthode de calcul particulière pour arrêter la contribution d'entretien (arrêt du Tribunal fédéral 5A_178/2008 du 23 avril 2008, consid. 3.2.;</w:t>
      </w:r>
    </w:p>
    <w:p>
      <w:r>
        <w:t>- 9/17 -</w:t>
      </w:r>
    </w:p>
    <w:p>
      <w:r>
        <w:t>C/2462/2011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 STEINAUER/ BADDELEY, Les effets du mariage, Berne 2000, p. 290; STETTLER/ GERMANI, Droit civil III, Fribourg 1999, p. 237 ss).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JdT 1990 I 258), l'excédent doit en principe être réparti par moitié entre eux, sans que cette répartition n'anticipe sur la liquidation du régime matrimonial des conjoints (ATF 126 III 8 consid. 3c; 121 I 97; JdT 1997 I 46;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w:t>
      </w:r>
    </w:p>
    <w:p>
      <w:r>
        <w:t>- 10/17 -</w:t>
      </w:r>
    </w:p>
    <w:p>
      <w:r>
        <w:t>C/2462/2011</w:t>
      </w:r>
    </w:p>
    <w:p>
      <w:r>
        <w:rPr>
          <w:b/>
        </w:rPr>
        <w:t>E. 5.2</w:t>
      </w:r>
    </w:p>
    <w:p>
      <w:r>
        <w:t>Selon une jurisprudence récente du Tribunal fédéral,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du procès en divorce (ATF 130 III 537 consid. 32.).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5A_122/2011 du 9 juin 2011 consid. 4). Ainsi, le juge doit examiner si, et dans quelle mesure, au vu des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recherchées ni vraisemblables; le but de l'indépendance financière des époux, notamment de celui qui jusqu'ici n'exerçait pas d'activité lucrative, ou seulement à temps partiel, gagne en importance. Cela vaut tant en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130 III 537 consid. 3.2).</w:t>
      </w:r>
    </w:p>
    <w:p>
      <w:r>
        <w:t>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du Tribunal fédéral 5A_62/2011 du 26 juillet 2011, consid. 3.1.).</w:t>
      </w:r>
    </w:p>
    <w:p>
      <w:r>
        <w:rPr>
          <w:b/>
        </w:rPr>
        <w:t>E. 5.3</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w:t>
      </w:r>
    </w:p>
    <w:p>
      <w:r>
        <w:t>- 11/17 -</w:t>
      </w:r>
    </w:p>
    <w:p>
      <w:r>
        <w:t>C/2462/2011</w:t>
      </w:r>
    </w:p>
    <w:p>
      <w:r>
        <w:rPr>
          <w:b/>
        </w:rPr>
        <w:t>E. 5.4</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126 III 353 = JdT 2002 I 62; 127 III 68 consid. 2b = JdT 2001 I 562; 127 III 289 consid 2a/bb = JdT 2002 I 236).</w:t>
      </w:r>
    </w:p>
    <w:p>
      <w:r>
        <w:t>Les dépenses pour les repas pris hors du domicile sont admissibles à hauteur de</w:t>
      </w:r>
    </w:p>
    <w:p>
      <w:r>
        <w:rPr>
          <w:b/>
        </w:rPr>
        <w:t>E. 5.5</w:t>
      </w:r>
    </w:p>
    <w:p>
      <w:r>
        <w:t>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w:t>
      </w:r>
    </w:p>
    <w:p>
      <w:r>
        <w:t>- 12/17 -</w:t>
      </w:r>
    </w:p>
    <w:p>
      <w:r>
        <w:t>C/2462/2011 les arrêts cités). Cette solution permet d'éviter un gonflement artificiel du passif du débiteur.</w:t>
      </w:r>
    </w:p>
    <w:p>
      <w:r>
        <w:rPr>
          <w:b/>
        </w:rPr>
        <w:t>E. 5.6</w:t>
      </w:r>
    </w:p>
    <w:p>
      <w:r>
        <w:t>L'appelant reproche au premier juge d'avoir appliqué la méthode dite "du minimum vital". Il indique que face à une situation de parties réalisant des revenus moyens, le Tribunal aurait dû faire application de la méthode dite "des pourcentages". Ni la loi, ni la jurisprudence n'imposent au juge la méthode pour fixer la contribution à l'entretien de la famille. Elle relève de son pouvoir d'appréciation. Aucun élément du dossier ne permet de retenir que la méthode choisie par le premier juge serait arbitraire, ni qu'elle serait contraire au droit fédéral. Cette méthode sera également choisie par la Cour, pour fixer l'étendue de la contribution d'entretien due par l'appelant. Les parties ne s'accordent pas sur la date de la fin de la vie commune, l'appelant alléguant s'être séparé au mois de novembre 2008 et l'intimée en décembre 2008. La Cour retiendra que les époux ne font plus ménage commun depuis novembre 2008, compte tenu de l'attestation produite par l'appelant, soit depuis plus de deux ans. La réconciliation des parties n'est pas exclue, malgré la relation extraconjugale que l'appelant entretient depuis près de 3 ans. L'appelant n'a en effet pas déposé de demande de divorce, alors même que les parties sont séparées depuis plus de deux ans, et a indiqué ne pas souhaiter faire ménage commun avec son amie. Une absence de reprise de la vie commune n'est dès lors pas établie. Par ailleurs, au stade des présentes mesures protectrices de l'union conjugale, le principe de la solidarité l'emporte sur celui de l'indépendance économique des époux. Les parties ont en effet le droit de conserver leur train de vie antérieur. Le mariage a été de longue durée, puisque les parties se sont mariées en 2001. Il n'appartient en revanche pas à la Cour de céans de statuer, tel que cela ressort de la jurisprudence, sur la question de savoir si le mariage a influencé concrètement la situation financière de l'intimée. La jurisprudence relative à l'art. 125 CC ne trouve ainsi pas application. En tout état de cause, l'intimée exerce une activité lucrative. Elle s'occupe des deux enfants des parties, âgés respectivement de 6 ans et 3 ans, depuis leur naissance, situation qui n'a été modifiée suite à la fin de la vie commune des époux. L'on ne peut ainsi pas exiger de l'intimée qu'elle étende son activité lucrative.</w:t>
      </w:r>
    </w:p>
    <w:p>
      <w:r>
        <w:rPr>
          <w:b/>
        </w:rPr>
        <w:t>E. 5.7</w:t>
      </w:r>
    </w:p>
    <w:p>
      <w:r>
        <w:t>Il convient en premier lieu d'établir les revenus et charges respectifs des parties.</w:t>
      </w:r>
    </w:p>
    <w:p>
      <w:r>
        <w:t>- 13/17 -</w:t>
      </w:r>
    </w:p>
    <w:p>
      <w:r>
        <w:t>C/2462/2011</w:t>
      </w:r>
    </w:p>
    <w:p>
      <w:r>
        <w:t>L'appelant perçoit un salaire mensuel net de 7'460 fr. 15, versé treize fois l'an, représentant 8'082 fr. par mois.</w:t>
      </w:r>
    </w:p>
    <w:p>
      <w:r>
        <w:t>Ses charges mensuelles comprennent le loyer de l'appartement et du parking qu'il occupe actuellement, de 1'176 fr., la prime d'assurance maladie de base et complémentaire, de 323 fr., les acomptes provisionnels cantonaux, communaux et fédéraux, de 1'345 fr., les frais de véhicule, de 422 fr., les frais de parking, de 65 fr., les frais de repas pris à l'extérieur, de 196 fr. et l'entretien de base, de 1'200 fr., soit au total 4'727 fr.</w:t>
      </w:r>
    </w:p>
    <w:p>
      <w:r>
        <w:t>Les frais de repas sont calculés comme suit : 21,75 jours par mois x 9 fr. par jour.</w:t>
      </w:r>
    </w:p>
    <w:p>
      <w:r>
        <w:t>Il ne sera pas tenu compte d'un loyer hypothétique de 1'800 fr. par mois tel qu'allégué par l'appelant, seules les charges effectives entrant en ligne de compte. Par ailleurs, aucun avis de résiliation de bail n'a été produit et l'appelant n'a dès lors pas rendu vraisemblable un éventuel déménagement à la fin du mois d'octobre 2011. Le montant de la prime d'assurance maladie complémentaire sera écarté.</w:t>
      </w:r>
    </w:p>
    <w:p>
      <w:r>
        <w:t>L'appelant dispose dès lors d'un solde disponible de 3'355 fr. Concernant l'intimée, elle a perçu un revenu mensuel net, 13ème salaire compris, de 4'099 fr. en 2010. En 2011, son salaire mensualisé s'élève à 4'126 fr.. Elle travaille actuellement à 60%. Au titre des charges de l'intimée, seront retenus le loyer du logement, de 2'209 fr., le parking, de 86 fr., les assurances maladie de base pour elle et les deux enfants, de 375 fr., 14 fr. et 14 fr., les frais de véhicule, de 285 fr., les impôts, de 500 fr., les frais de crèche pour C______ de 970 fr., les frais d'animation parascolaires pour B______, de 94 fr., les frais de cuisine scolaires de B______, de 96 fr., et les entretiens de base pour elle-même et les deux enfants, de 1'350 fr., 400 fr. et 400 fr. Les charges mensuelles s'élèvent ainsi à 6'793. Le budget de l'intimée est dès lors déficitaire de 2'667 fr. Il convient en conséquence de déterminer la quotité de la contribution d'entretien pour la famille due à l'appelante, en appliquant la méthode du minimum vital élargi avec répartition de l'excédent. Pour tenir compte du large droit de visite accordé à l'appelant, de la prise en charge prépondérante des enfants par l'intimée et du maintien du train de vie des époux, il se justifie de répartir l'excédent à raison de 3/4 pour l'intimée et d'un quart pour l'appelant. Le calcul se présente comme suit : Total des revenus des époux : 8'082 fr. + 4'126 fr. = 12'208 fr. Total des charges incompressibles : 4'727 fr. + 6'793 fr. = 11'520 fr.</w:t>
      </w:r>
    </w:p>
    <w:p>
      <w:r>
        <w:t>- 14/17 -</w:t>
      </w:r>
    </w:p>
    <w:p>
      <w:r>
        <w:t>C/2462/2011 Solde disponible : 688 fr. Répartition du solde par tête : 688 fr.: 4 = 172 fr. (x 3 = 516 fr.) Détermination de la contribution : Minimum vital du crédirentier plus 3/4 du solde : 6'793 fr. + 516 fr. = 7'309 fr. Total obtenu moins revenus du crédirentier : 7'309 fr. - 4'126 fr. = 3'183 fr. La contribution due par l'appelant à l'intimée pour l'entretien de la famille sera en conséquence fixée à 3'183 fr. par mois.</w:t>
      </w:r>
    </w:p>
    <w:p>
      <w:r>
        <w:rPr>
          <w:b/>
        </w:rPr>
        <w:t>E. 5.8</w:t>
      </w:r>
    </w:p>
    <w:p>
      <w:r>
        <w:t>En matière de mesures protectrices de l'union conjugale, comme pour les mesures provisoires de l'art. 137 al. 2 aCC, le moment déterminant se situe en règle générale au jour du dépôt de la requête (BÜHLER/SPÜHLER, Commentaire bernois, n. 124 ad art. 145 aCC).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(art. 173 al. 3 CC; Commentaire bernois, HAUSHEER/REUSSER/- GEISER, n. 23 ss ad art. 173 CC et n. 28 ad art. 176 CC).</w:t>
      </w:r>
    </w:p>
    <w:p>
      <w:r>
        <w:t>En l'espèce, l'intimée n'a pas pris de conclusions visant le paiement de la contribution à compter du jour de la séparation des conjoints. Dès lors, le dies a quo sera fixé au jour du dépôt de la requête, soit le 15 février 2011. 6.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1'000 fr., partiellement couverts par l'avance de frais faite par l'appelant, compte tenu de la nature de la procédure et de l'arrêt rendu par la Cour sur effet suspensif (art. 28, 31 et 37 RTFMC - E 1 05.10). Vu l'issue du litige et la qualité des parties, ils seront mis à la charge de l'appelant, qui succombe principalement, chaque partie gardant pour le surplus à sa charge ses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w:t>
      </w:r>
    </w:p>
    <w:p>
      <w:r>
        <w:t>- 15/17 -</w:t>
      </w:r>
    </w:p>
    <w:p>
      <w:r>
        <w:t>C/2462/2011 * * * * *</w:t>
      </w:r>
    </w:p>
    <w:p>
      <w:r>
        <w:t>- 16/17 -</w:t>
      </w:r>
    </w:p>
    <w:p>
      <w:r>
        <w:t>C/2462/2011 PAR CES MOTIFS, La Chambre civile : A la forme : Déclare recevable l'appel interjeté par X______ contre le jugement JTPI/11825/2011 rendu le 15 juillet 2011 par le Tribunal de première instance dans la cause C/2462/2011- 5. Au fond : Préalablement : Constate l'entrée en force des chiffres 1 à 4 et 6 à 10 du dispositif dudit jugement. Cela fait : Annule le ch. 5 dudit dispositif. Et, statuant à nouveau sur ce point : Condamne X______ à verser, par mois et d'avance, allocations familiales non comprises, la somme de 3'183 fr à titre de contribution à l'entretien de la famille, dès le</w:t>
      </w:r>
    </w:p>
    <w:p>
      <w:r>
        <w:rPr>
          <w:b/>
        </w:rPr>
        <w:t>E. 10</w:t>
      </w:r>
    </w:p>
    <w:p>
      <w:r>
        <w:t>fr. par repas principal (Normes d'insaisissabilité pour l'année 2011, partie II, ch. 4 b; BASTONS BULLETTI, L'entretien après divorce : méthodes de calcul, montant, durée et limites, in SJ 2007 II 77, 86).</w:t>
      </w:r>
    </w:p>
    <w:p>
      <w:r>
        <w:t>Les cotisations aux assurances complémentaires à l'assurance maladie de base ne sont prises en compte que si à défaut de paiement elles seront résiliées et que le débiteur courre alors le risque de ne plus pouvoir contacter une assurance équivalente (arrêt du Tribunal fédéral du 31.5.2005 5C.53/2005 consid. 4.1).</w:t>
      </w:r>
    </w:p>
    <w:p>
      <w:r>
        <w:rPr>
          <w:b/>
        </w:rPr>
        <w:t>E. 15</w:t>
      </w:r>
    </w:p>
    <w:p>
      <w:r>
        <w:t>février 2011. Condamne X______ aux frais judiciaires arrêtés à 1'000 fr., couverts à hauteur de 700 fr. par l'avance de frais, acquise à l'Etat. Dit que chaque partie conserve ses dépens.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- 17/17 -</w:t>
      </w:r>
    </w:p>
    <w:p>
      <w:r>
        <w:t>C/2462/2011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