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ACJC/1430/2015 vom 20. November 2015</w:t>
      </w:r>
    </w:p>
    <w:p>
      <w:r>
        <w:t>GE Cour de justice, 2015-11-20, FR</w:t>
      </w:r>
    </w:p>
    <w:p>
      <w:r>
        <w:rPr>
          <w:b/>
        </w:rPr>
        <w:t xml:space="preserve">Quelle: </w:t>
      </w:r>
      <w:r>
        <w:t>https://mcp.opencaselaw.ch/entscheid/ge_gerichte_ACJC_1430_2015</w:t>
      </w:r>
    </w:p>
    <w:p>
      <w:r>
        <w:t>FR: GE_GERICHTE ACJC/1430/2015 du 20 novembre 2015</w:t>
      </w:r>
    </w:p>
    <w:p>
      <w:r>
        <w:t>IT: GE_GERICHTE ACJC/1430/2015 del 20 novembre 2015</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w:t>
      </w:r>
    </w:p>
    <w:p>
      <w:r>
        <w:t>Par ailleurs, la maxime des débats s'applique et la preuve des faits allégués doit être apportée par titre (art. 55 al. 1, 255 let. a a contrario et 254 CPC). En outre, la maxime de disposition s'applique (art. 58 al. 1 CPC).</w:t>
      </w:r>
    </w:p>
    <w:p>
      <w:r>
        <w:rPr>
          <w:b/>
        </w:rPr>
        <w:t>E. 1.3</w:t>
      </w:r>
    </w:p>
    <w:p>
      <w:r>
        <w:t>Les conclusions, les allégations de faits et les preuves nouvelles sont irrecevables (art. 326 al. 1 CPC).</w:t>
      </w:r>
    </w:p>
    <w:p>
      <w:r>
        <w:t>Partant, pour examiner si la loi a été violée, la Cour de justice doit se placer dans la situation où se trouvait le premier juge lorsque celui-ci a rendu la décision attaquée. La pièce nouvelle produite par les recourants est par conséquent irrecevable. Les conclusions des recourants tendant à la condamnation de l'intimée au paiement d'une amende sont également nouvelles et, partant, irrecevables.</w:t>
      </w:r>
    </w:p>
    <w:p>
      <w:r>
        <w:t>- 6/14 -</w:t>
      </w:r>
    </w:p>
    <w:p>
      <w:r>
        <w:t>C/22084/2014</w:t>
      </w:r>
    </w:p>
    <w:p>
      <w:r>
        <w:rPr>
          <w:b/>
        </w:rPr>
        <w:t>E. 2</w:t>
      </w:r>
    </w:p>
    <w:p>
      <w:r>
        <w:t>Les recourants reprochent au premier juge de ne pas avoir suffisamment motivé le jugement querellé.</w:t>
      </w:r>
    </w:p>
    <w:p>
      <w:r>
        <w:rPr>
          <w:b/>
        </w:rPr>
        <w:t>E. 2.1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w:t>
      </w:r>
    </w:p>
    <w:p>
      <w:r>
        <w:t>En procédure sommaire, la motivation peut être plus succincte qu'en procédure ordinaire (MAZAN, Basler Kommentar, Schweizerische Zivilprozessordnung, 2ème éd., 2013, n. 7 ad art. 256 CPC).</w:t>
      </w:r>
    </w:p>
    <w:p>
      <w:r>
        <w:t>Contrevenant au droit d'être entendu, une motivation insuffisante constitue une violation du droit, que la juridiction supérieure peut librement examiner aussi bien en appel que dans le cadre d'un recours au sens des art. 319 ss CPC (TAPPY, in CPC, Code de procédure civile commenté, 2011, n. 18 ad art. 239).</w:t>
      </w:r>
    </w:p>
    <w:p>
      <w:r>
        <w:rPr>
          <w:b/>
        </w:rPr>
        <w:t>E. 2.2</w:t>
      </w:r>
    </w:p>
    <w:p>
      <w:r>
        <w:t>En l'espèce, quand bien même le jugement querellé est succinct, tant en fait qu'en droit, on parvient à discerner les motifs qui ont guidé la décision du premier juge. Les recourants ont d'ailleurs été en mesure de la critiquer de manière détaillée. Partant, le grief est infondé.</w:t>
      </w:r>
    </w:p>
    <w:p>
      <w:r>
        <w:t>- 7/14 -</w:t>
      </w:r>
    </w:p>
    <w:p>
      <w:r>
        <w:t>C/22084/2014</w:t>
      </w:r>
    </w:p>
    <w:p>
      <w:r>
        <w:rPr>
          <w:b/>
        </w:rPr>
        <w:t>E. 3</w:t>
      </w:r>
    </w:p>
    <w:p>
      <w:r>
        <w:t>Les recourants reprochent également au premier juge d'avoir versé au dossier la détermination écrite déposée par l'intimée lors de l'audience 9 mars 2015, qui plus est sans leur donner la possibilité de répliquer. Ils se plaignent d'une inégalité de traitement.</w:t>
      </w:r>
    </w:p>
    <w:p>
      <w:r>
        <w:t>3.1.1 Selon les règles ordinaires de la procédure sommaire, lorsque la requête ne paraît pas manifestement irrecevable ou infondée, le tribunal donne à la partie adverse l'occasion de se déterminer oralement ou par écrit (art. 253 CPC).</w:t>
      </w:r>
    </w:p>
    <w:p>
      <w:r>
        <w:t>Le défendeur n'a pas le choix entre l'une ou l'autre des modes de détermination. Il appartient exclusivement au Tribunal de définir le mode de détermination de la partie citée (cf. arrêt du Tribunal fédéral 5A_403/2014 du 19 août 2014 consid. 4.1; KAUFMANN, in DIKE-Komm-ZPO, 2011, n. 13 ad art. 253 CPC; CHEVALIER, in Sutter-Somm et al., Kommentar zur Schweizerischen Zivilprozessordnung [ZPO], 2ème éd. 2013, n. 1 ad art. 253 CPC; MAZAN, op. cit., n. 11 ad art. 253 CPC). Le Tribunal peut opter pour une procédure orale avec ou sans détermination écrite ou pour une procédure purement écrite (JENT- SØRENSEN, in Kurzkommentar ZPO, 2ème éd. 2014, n. 2 et 4 ad art. 253; MAZAN, op. cit., n. 11 et 13 ad art. 253 CPC).</w:t>
      </w:r>
    </w:p>
    <w:p>
      <w:r>
        <w:t>3.1.2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consid. 2.1; 1C_196/2011 du 11 juillet 2011 consid. 2.2, publié in SJ 2012 I p. 117; 5A_779/2010 du 1er avril 2011 consid. 2.2, publié in FamPra.ch 2012 n. 1 p. 1).</w:t>
      </w:r>
    </w:p>
    <w:p>
      <w:r>
        <w:t>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w:t>
      </w:r>
    </w:p>
    <w:p>
      <w:r>
        <w:t>- 8/14 -</w:t>
      </w:r>
    </w:p>
    <w:p>
      <w:r>
        <w:t>C/22084/2014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w:t>
      </w:r>
    </w:p>
    <w:p>
      <w:r>
        <w:rPr>
          <w:b/>
        </w:rPr>
        <w:t>E. 3.2</w:t>
      </w:r>
    </w:p>
    <w:p>
      <w:r>
        <w:t>En l'espèce, il est constant que le Tribunal a transmis à l'intimée la requête formée par les recourants et l'a convoquée à une audience de comparution des parties, sans l'inviter à se déterminer par écrit, démontrant ainsi avoir opté pour une procédure orale, de sorte que l'intimée devait présenter ses arguments oralement à l'audience. Pourtant, le premier juge a accepté la détermination écrite de l'intimée, non communiquée préalablement aux recourants, ce qu'il n'aurait pas dû faire. Au vu de l'importance de cette détermination (plus de vingt pages), il est manifeste que les recourants n'ont pu en prendre connaissance lors de l'audience de manière suffisamment approfondie pour exercer leur droit à la réplique. S'il entendait verser cette écriture au dossier, le Tribunal aurait dû renvoyer l'audience ou la suspendre pour permettre aux recourants d'en prendre connaissance et cas échéant de se déterminer sur son contenu.</w:t>
      </w:r>
    </w:p>
    <w:p>
      <w:r>
        <w:t>En ne le faisant pas, il a violé leur droit d'être entendu. Cette violation apparaît d'autant plus grave que le Tribunal a pris en compte cette détermination pour rendre son jugement, puisqu'il s'y réfère expressément dans les considérants de sa décision.</w:t>
      </w:r>
    </w:p>
    <w:p>
      <w:r>
        <w:t>Cela étant, il n'est pas nécessaire de renvoyer la cause au Tribunal pour remédier à cette violation, dans la mesure où il sera fait droit aux conclusions des recourants, conformément aux considérations qui suivent (voir consid. 4 ci-dessous).</w:t>
      </w:r>
    </w:p>
    <w:p>
      <w:r>
        <w:rPr>
          <w:b/>
        </w:rPr>
        <w:t>E. 4</w:t>
      </w:r>
    </w:p>
    <w:p>
      <w:r>
        <w:t>Les recourants reprochent au premier juge d'avoir retenu que l'intimée, qui reconnait l'existence de leur créance, avait rendu vraisemblable l'inexigibilité de celle-ci sur la base de l'art. 119 CO.</w:t>
      </w:r>
    </w:p>
    <w:p>
      <w:r>
        <w:t>L'intimée soutient que les directives internes propres à garantir une activité irréprochable ont été prises en 2013, soit postérieurement à l'ouverture du compte des recourants, et qu'elles l'empêchent objectivement de restituer les fonds, en l'absence d'une déclaration de conformité fiscale (impossibilité subséquente objective au sens de l'art. 119 CO).</w:t>
      </w:r>
    </w:p>
    <w:p>
      <w:r>
        <w:t>4.1.1 Le créancier dont la poursuite se fonde sur une reconnaissance de dette constatée par acte authentique ou sous seing privé peut requérir la mainlevée provisoire (art. 82 al. 1 LP).</w:t>
      </w:r>
    </w:p>
    <w:p>
      <w:r>
        <w:t>Le juge de la mainlevée provisoire doit vérifier d'office notamment l'existence matérielle d'une reconnaissance de dette (ATF 139 III 444 consid. 4.1.1,</w:t>
      </w:r>
    </w:p>
    <w:p>
      <w:r>
        <w:t>- 9/14 -</w:t>
      </w:r>
    </w:p>
    <w:p>
      <w:r>
        <w:t>C/22084/2014 consid. 4.1.1 et les références; arrêt du Tribunal fédéral 5A_40/2013 du 29 octobre 2013 consid. 2.2).</w:t>
      </w:r>
    </w:p>
    <w:p>
      <w:r>
        <w:t>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w:t>
      </w:r>
    </w:p>
    <w:p>
      <w:r>
        <w:t>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w:t>
      </w:r>
    </w:p>
    <w:p>
      <w:r>
        <w:t>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(GILLIERON, Commentaire de la loi fédérale sur la poursuite pour dettes et la faillite, 1999, n. 33 ad art. 82 LP).</w:t>
      </w:r>
    </w:p>
    <w:p>
      <w:r>
        <w:t>La banque émet, en envoyant l'extrait de compte dont le solde est positif en faveur du client, une reconnaissance de dette. Ce faisant, elle renonce à faire valoir les exceptions et les objections connues (GUGGENHEIM, Les contrats de la pratique bancaire suisse, 5ème éd. 2014, n. 1755).</w:t>
      </w:r>
    </w:p>
    <w:p>
      <w:r>
        <w:t>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w:t>
      </w:r>
    </w:p>
    <w:p>
      <w:r>
        <w:t>Dans le cadre d'une procédure sommaire, le rôle du juge de la mainlevée n'est pas d'interpréter des contrats ou d'autres documents, mais d'accorder rapidement,</w:t>
      </w:r>
    </w:p>
    <w:p>
      <w:r>
        <w:t>- 10/14 -</w:t>
      </w:r>
    </w:p>
    <w:p>
      <w:r>
        <w:t>C/22084/2014 après examen sommaire des faits et du droit, une protection provisoire au requérant dont la situation juridique paraît claire (ACJC/658/2012 du 11 mai 2012, consid 5.2; ACJC/1211/1999 du 25 novembre 1999, consid. 3; arrêt du Tribunal fédéral du 10 mai 1968, résumé in JdT 1969 II 32).</w:t>
      </w:r>
    </w:p>
    <w:p>
      <w:r>
        <w:t>Selon l'art. 82 al. 2 LP, le juge prononce la mainlevée si le débiteur ne rend pas immédiatement vraisemblable sa libération.</w:t>
      </w:r>
    </w:p>
    <w:p>
      <w:r>
        <w:t>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w:t>
      </w:r>
    </w:p>
    <w:p>
      <w:r>
        <w:t>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w:t>
      </w:r>
    </w:p>
    <w:p>
      <w:r>
        <w:t>4.1.2 Le déposant peut réclamer en tout temps la chose déposée, avec ses accroissements, même si un terme a été fixé pour la durée du dépôt (art. 475 al. 1 CO).</w:t>
      </w:r>
    </w:p>
    <w:p>
      <w:r>
        <w:t>4.1.3 L'obligation s'éteint lorsque l'exécution en devient impossible par suite de circonstances non imputables au débiteur (art. 119 al. 1 CO).</w:t>
      </w:r>
    </w:p>
    <w:p>
      <w:r>
        <w:t>L'impossibilité subséquente peut être matérielle - par exemple le décès d'un cheval dont le débiteur devait assurer l'entretien et le dressage (ATF 107 II 144 c. 3) - ou juridique - ainsi une interdiction d'exportation qui empêche le débiteur de fournir la prestation (ATF 111 II 352 c. 2a); certains distinguent également selon que l'impossibilité est objective, c'est-à-dire que ni le débiteur ni des tiers ne sont en mesure d'effectuer la prestation contractuelle (PICHONNAZ, Impossibilité et exorbitance, thèse Fribourg 1997, n. 325 et les références; THEVENOZ, Commentaire romand, 2ème éd. 2012, n. 4 ad art. 119 CO) ou subjective, lorsqu'une prestation devient impossible parce qu'elle se heurte à un obstacle insurmontable pour le débiteur (PICHONNAZ, op. cit., n. 340; WIEGAND, Commentaire bâlois, 5ème éd., 2011, n. 1 ad art. 119 CO, n. 11 ss ad art. 97 CO; contre cette distinction: cf. PICHONNAZ, op. cit., n. 508 ss; VON TUHR / ESCHER, Allgemeiner Teil des Schweizerischen Obligationenrechts, Band II, 3e éd., 1974, par. 68 p. 94; cf. aussi AEPLI, Commentaire zurichois, 3ème éd., 1991, n. 49 ad art. 119 CO, qui exclut les cas d'impossibilité subjective du champ d'application de l'art. 119 CO). Le Tribunal fédéral adopte quant à lui une position plutôt large (ATF 57 II 532; 82 II 332 c. 5; 116 II 512 c. 2; cf. aussi 126 III 75 c. 2 b et c; arrêt</w:t>
      </w:r>
    </w:p>
    <w:p>
      <w:r>
        <w:t>- 11/14 -</w:t>
      </w:r>
    </w:p>
    <w:p>
      <w:r>
        <w:t>C/22084/2014 4C.378/2000 du 5 mars 2001 in SJ 2001 I 445, c. 3b). Si l'unanimité règne en doctrine pour dire que l'insolvabilité ou le manque d'argent ne tombe jamais sous le coup de l'art. 119 CO (VON TUHR / ESCHER, op. cit., p. 96; cf. aussi THEVENOZ, op. cit., n. 6 ad art. 119 CO), certains se montrent plus nuancés s'agissant de l'exclusion du champ d'application de l'art. 119 CO des prestations portant sur des choses de genre en général (AEPLI, op. cit., n. 49 et 50 ad art. 119 CO, et les références; arrêt du Tribunal fédéral 4C.344/2002 du 12 novembre 2003, in SJ 2004 I 597 consid. 4.1).</w:t>
      </w:r>
    </w:p>
    <w:p>
      <w:r>
        <w:t>4.1.4 La banque ne peut commencer son activité qu'après en avoir obtenu l'autorisation de la FINMA; elle ne peut s'inscrire au registre du commerce avant d'avoir reçu cette autorisation. L'autorisation est accordée lorsque, notamment, les personnes chargées d'administrer et de gérer la banque jouissent d'une bonne réputation et présentent toutes garanties d'une activité irréprochable (art. 3 al. 1 et 2 let. c LB).</w:t>
      </w:r>
    </w:p>
    <w:p>
      <w:r>
        <w:t>Le principe du respect de la garantie de l'activité irréprochable reste fondamentalement circonscrit au droit public, de sorte que seule l'autorité de surveillance peut invoquer la violation de ce principe. La banque ne peut s'opposer aux instructions du client en invoquant simplement ce principe (LOMBARDINI, Banques et clients en situation fiscale irrégulière: un état des lieux, in Not@lex 2015, p. 33, 45).</w:t>
      </w:r>
    </w:p>
    <w:p>
      <w:r>
        <w:t>4.1.5 La question de savoir si des banques sont en droit de bloquer les avoirs non fiscalisés de leurs clients, en application des règles impératives étrangères qui criminalisent l'évasion/fraude fiscales et permettent de poursuivre la banque en complicité de blanchiment de fraude fiscale fait débat en doctrine et n'a pas encore été tranchée par le Tribunal fédéral (voir à ce sujet, HORNUNG, in Le Temps du 18 mars 2015).</w:t>
      </w:r>
    </w:p>
    <w:p>
      <w:r>
        <w:t>La Cour de céans, dans un arrêt récent dont l'état de fait était identique à celui de la présente cause, a d'ailleurs retenu que le cas qui lui était soumis n'était pas clair au sens de l'art. 257 CPC, les questions juridiques posées n'étant pas clairement tranchées (ACJC/512/2015 du 8 mai 2015, consid. 4).</w:t>
      </w:r>
    </w:p>
    <w:p>
      <w:r>
        <w:rPr>
          <w:b/>
        </w:rPr>
        <w:t>E. 4.2</w:t>
      </w:r>
    </w:p>
    <w:p>
      <w:r>
        <w:t>En l'espèce, il ressort des pièces produites que les parties étaient liées par un contrat de compte courant, clôturé par la Banque le 21 février 2014, conformément à ses conditions générales. Les recourants disposaient ainsi d'une créance en restitution des avoirs déposés. Selon le rapport de gestion du 8 mai 2014 remis par l'intimée aux recourants, valant reconnaissance de dette, le compte clôturé affichait un solde positif de 303'864 Euros. Au vu de ces différents éléments, les recourants disposent d'un titre justifiant le prononcé de la mainlevée de l'opposition.</w:t>
      </w:r>
    </w:p>
    <w:p>
      <w:r>
        <w:t>- 12/14 -</w:t>
      </w:r>
    </w:p>
    <w:p>
      <w:r>
        <w:t>C/22084/2014</w:t>
      </w:r>
    </w:p>
    <w:p>
      <w:r>
        <w:t>L'intimée n'a quant à elle pas rendu vraisemblable qu'elle serait fondée à refuser l'exécution de sa prestation. Aucun des documents produits n'interdit expressément à la Banque de restituer les avoirs des clients dans une situation telle que la présente. Tout d'abord, les directives internes que l'intimée invoque pour justifier de son impossibilité d'exécuter sa prestation en restitution du dépôt, n'ont pas été produites; il n'est dès lors pas nécessaire de trancher plus avant la question de l'applicabilité de l'art. 119 CO, en particulier aux dettes de genre. Ses conditions générales sont également insuffisantes à rendre vraisemblable son droit de refuser de s'exécuter. A cela s'ajoute que le principe du respect de l'activité irréprochable, également avancé par l'intimée pour justifier son refus, n'est pas directement applicable à sa relation avec les recourants. Enfin, comme relevé ci-dessus, le Tribunal fédéral n'a pas encore tranché la question de savoir si la banque pouvait bloquer des avoirs de clients, en l'absence d'une déclaration de conformité fiscale.</w:t>
      </w:r>
    </w:p>
    <w:p>
      <w:r>
        <w:t>L'intimée n'ayant pas rendu vraisemblable qu'elle disposait d'un moyen libératoire, le recours doit dès lors être admis et le jugement annulé.</w:t>
      </w:r>
    </w:p>
    <w:p>
      <w:r>
        <w:t>La cause étant en état d'être jugée (art. 327 al. 3 let. b CPC), la mainlevée de l'opposition formée au commandement de payer, poursuite n° 3______, sera en conséquence prononcée.</w:t>
      </w:r>
    </w:p>
    <w:p>
      <w:r>
        <w:rPr>
          <w:b/>
        </w:rPr>
        <w:t>E. 5</w:t>
      </w:r>
    </w:p>
    <w:p>
      <w:r>
        <w:t>L'intimée, qui succombe, supportera les frais des deux instances (art. 106 al. 1 CPC), arrêtés à 1'875 fr., soit 750 fr. pour la première instance et 1'125 fr. pour le recours (art. 48 et 61 OELP), couverts par les avances déjà opérées par les parties, qui restent acquises à l'Etat (art. 111 al. 1 CPC). L'intimée sera en conséquence condamnée à rembourser ce montant aux recourants.</w:t>
      </w:r>
    </w:p>
    <w:p>
      <w:r>
        <w:t>L'intimée sera en outre condamnée à verser aux recourants la somme de 7'000 fr. à titre de dépens pour les deux instances, débours et TVA compris, soit 5'000 fr. pour la première instance et 2'000 fr. pour la seconde instance (art. 105 al. 2 CPC; art. 84, 85, 89 et 90 RTFMC; art. 23, 25 et 26 LaCC). * * * * *</w:t>
      </w:r>
    </w:p>
    <w:p>
      <w:r>
        <w:t>- 13/14 -</w:t>
      </w:r>
    </w:p>
    <w:p>
      <w:r>
        <w:t>C/22084/2014 PAR CES MOTIFS, La Chambre civile : A la forme : Déclare recevable le recours interjeté par B______ et A______ contre le jugement JTPI/5133/2015 rendu le 5 mai 2015 par le Tribunal de première instance dans la cause C/22084/2014-JS SML. Au fond : L'admet. Annule ledit jugement. Cela fait, statuant à nouveau : Prononce la mainlevée provisoire de l'opposition formée au commandement de payer poursuite n° 3______. Sur les frais : Arrête les frais de première instance et de recours à 1'875 fr., compensés avec les avances fournies par les parties, qui restent acquises à l'Etat. Les met à la charge de C______. Condamne en conséquence C______ à payer à B______ et A______, conjointement et solidairement, la somme de 1'875 fr., en remboursement des avances effectuées. Condamne C______ à payer à B______ et A______, conjointement et solidairement, la somme de 7'000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- 14/14 -</w:t>
      </w:r>
    </w:p>
    <w:p>
      <w:r>
        <w:t>C/22084/2014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