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ACJC/1430/2008 vom 27. November 2008</w:t>
      </w:r>
    </w:p>
    <w:p>
      <w:r>
        <w:t>GE Cour de justice, 2008-11-27, FR</w:t>
      </w:r>
    </w:p>
    <w:p>
      <w:r>
        <w:rPr>
          <w:b/>
        </w:rPr>
        <w:t xml:space="preserve">Quelle: </w:t>
      </w:r>
      <w:r>
        <w:t>https://mcp.opencaselaw.ch/entscheid/ge_gerichte_ACJC_1430_2008</w:t>
      </w:r>
    </w:p>
    <w:p>
      <w:r>
        <w:t>FR: GE_GERICHTE ACJC/1430/2008 du 27 novembre 2008</w:t>
      </w:r>
    </w:p>
    <w:p>
      <w:r>
        <w:t>IT: GE_GERICHTE ACJC/1430/2008 del 27 novembre 2008</w:t>
      </w:r>
    </w:p>
    <w:p>
      <w:pPr>
        <w:pStyle w:val="Heading2"/>
      </w:pPr>
      <w:r>
        <w:t>Regeste</w:t>
      </w:r>
    </w:p>
    <w:p>
      <w:r>
        <w:t>Résumé: DÉFAUT GRAVE - MISE EN DANGER - ENTRAVE CONSIDÉRABLE À L'USAGE DE LA CHOSE LOUÉE N'importe quel défaut ne justifie pas la renonciation au contrat. Elle n'est possible qu'en présence d'un défaut grave. Tel est le cas notamment lorsque le défaut met en danger des intérêts vitaux, notamment la santé du locataire et de sa famille. Il en va de même lorsque le locataire ne peut habiter le logement ou ne peut pas faire usage de pièces importantes (cuisine, salon, chambre à coucher, salle-de-bains) pendant un certain temps, ou, de manière générale, lorsque, objectivement, on ne peut exiger du locataire qu'il occupe ou continue à occuper les lieux. La gravité du défaut peut également résulter d'une accumulation de défauts de moindre importance (LACHAT David, Le bail à loyer, Lausanne 2008, p. 225).</w:t>
      </w:r>
    </w:p>
    <w:p>
      <w:pPr>
        <w:pStyle w:val="Heading2"/>
      </w:pPr>
      <w:r>
        <w:t>Volltext</w:t>
      </w:r>
    </w:p>
    <w:p>
      <w:r>
        <w:t>Résumé: DÉFAUT GRAVE - MISE EN DANGER - ENTRAVE CONSIDÉRABLE À L'USAGE DE LA CHOSE LOUÉE N'importe quel défaut ne justifie pas la renonciation au contrat. Elle n'est possible qu'en présence d'un défaut grave. Tel est le cas notamment lorsque le défaut met en danger des intérêts vitaux, notamment la santé du locataire et de sa famille. Il en va de même lorsque le locataire ne peut habiter le logement ou ne peut pas faire usage de pièces importantes (cuisine, salon, chambre à coucher, salle-de-bains) pendant un certain temps, ou, de manière générale, lorsque, objectivement, on ne peut exiger du locataire qu'il occupe ou continue à occuper les lieux. La gravité du défaut peut également résulter d'une accumulation de défauts de moindre importance (LACHAT David, Le bail à loyer, Lausanne 2008, p. 225).</w:t>
      </w:r>
    </w:p>
    <w:p>
      <w:r>
        <w:t>Descripteurs: Descripteurs: BAIL A LOYER; DEFAUT DE LA CHOSE; CHOSE LOUEE; UTILISATION; IMPOSSIBILITE</w:t>
      </w:r>
    </w:p>
    <w:p>
      <w:r>
        <w:t>Normes: Normes: CO.259d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