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ACJC/1429/2019 vom 7. Oktober 2019</w:t>
      </w:r>
    </w:p>
    <w:p>
      <w:r>
        <w:t>GE Cour de justice, 2019-10-07, FR</w:t>
      </w:r>
    </w:p>
    <w:p>
      <w:r>
        <w:rPr>
          <w:b/>
        </w:rPr>
        <w:t xml:space="preserve">Quelle: </w:t>
      </w:r>
      <w:r>
        <w:t>https://mcp.opencaselaw.ch/entscheid/ge_gerichte_ACJC_1429_2019</w:t>
      </w:r>
    </w:p>
    <w:p>
      <w:r>
        <w:t>FR: GE_GERICHTE ACJC/1429/2019 du 7 octobre 2019</w:t>
      </w:r>
    </w:p>
    <w:p>
      <w:r>
        <w:t>IT: GE_GERICHTE ACJC/1429/2019 del 7 ottobre 2019</w:t>
      </w:r>
    </w:p>
    <w:p>
      <w:pPr>
        <w:pStyle w:val="Heading2"/>
      </w:pPr>
      <w:r>
        <w:t>Erwägungen</w:t>
      </w:r>
    </w:p>
    <w:p>
      <w:r>
        <w:rPr>
          <w:b/>
        </w:rPr>
        <w:t>E. 1.1</w:t>
      </w:r>
    </w:p>
    <w:p>
      <w:r>
        <w:t>Dans les affaires patrimoniales, l'appel est recevable si la valeur litigieuse au dernier état des conclusions est de 10'000 fr. au moins (art. 308 al. 2 CPC). Lorsque la décision de première instance a été rendue en procédure sommaire, le délai pour l'introduction du recours est de dix jours (art. 321 al. 2 CPC). La procédure sommaire s'applique à la procédure de cas clair (art. 248 let. b CPC). Les contestations portant sur l'usage d'une chose louée sont de nature pécuniaire (arrêts du Tribunal fédéral 4A_388/2016 du 15 mars 2017 consid. 1; 4A_72/2007 du 22 août 2007 consid. 2). La valeur litigieuse est déterminée par les dernières conclusions de première instance (art. 91 al. 1 CPC; JEANDIN, Commentaire Romand, Code de procédure civile 2ème éd., 2019, n. 13 ad art. 308 CPC).</w:t>
      </w:r>
    </w:p>
    <w:p>
      <w:r>
        <w:t>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En pratique, il convient de prendre en considération le loyer et les frais accessoires pour la période de trois ans de l'art. 271a al. 1 let. e CO (ATF 137 III 389 consid. 1.1; 111 II 384 consid. 1; arrêt du Tribunal fédéral 4A_87/2012 du 10 avril 2012 consid. 1.1). En l'espèce, au vu du montant du loyer, charges comprises, de 900 fr. par mois, la valeur litigieuse s'élève à 32'400 fr. de sorte qu'elle est supérieure à 10'000 fr. La voie de l'appel est ainsi ouverte contre le prononcé de l'évacuation.</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La voie du recours est ouverte contre la décision du Tribunal relative à l'exécution de l'évacuation. Le recours formé est également recevable.</w:t>
      </w:r>
    </w:p>
    <w:p>
      <w:r>
        <w:rPr>
          <w:b/>
        </w:rPr>
        <w:t>E. 1.5</w:t>
      </w:r>
    </w:p>
    <w:p>
      <w:r>
        <w:t>Le recours est recevable pour violation du droit et constatation manifestement inexacte des faits (art. 320 CPC).</w:t>
      </w:r>
    </w:p>
    <w:p>
      <w:r>
        <w:t>- 5/9 -</w:t>
      </w:r>
    </w:p>
    <w:p>
      <w:r>
        <w:t>C/8039/2019</w:t>
      </w:r>
    </w:p>
    <w:p>
      <w:r>
        <w:rPr>
          <w:b/>
        </w:rPr>
        <w:t>E. 1.6</w:t>
      </w:r>
    </w:p>
    <w:p>
      <w:r>
        <w:t>L'appel et le recours, formés contre la même décision, seront traités ensemble dans le présent arrêt (art. 125 CPC).</w:t>
      </w:r>
    </w:p>
    <w:p>
      <w:r>
        <w:rPr>
          <w:b/>
        </w:rPr>
        <w:t>E. 2</w:t>
      </w:r>
    </w:p>
    <w:p>
      <w:r>
        <w:t>L'appelant conteste que le cas soit clair, les bailleurs utilisant les conditions de la résiliation extraordinaire contrairement à son but et ceux-ci commettant un abus de droit en résiliant le bail.</w:t>
      </w:r>
    </w:p>
    <w:p>
      <w:r>
        <w:rPr>
          <w:b/>
        </w:rPr>
        <w:t>E. 2.1</w:t>
      </w:r>
    </w:p>
    <w:p>
      <w:r>
        <w:t>Aux termes de l'art. 257 al. 1 et 3 CPC, relatif à la procédure de protection dans les cas clairs, le tribunal admet l'application de la procédure sommaire lorsque les conditions suivantes sont remplies : (a) l'état de fait n'est pas litigieux ou est susceptible d'être immédiatement prouvé et (b) la situation juridique est claire (al. 1); le tribunal n'entre pas en matière sur la requête lorsque cette procédure ne peut pas être appliquée (al. 3).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La preuve n'est pas facilitée : le demandeur doit ainsi apporter la preuve certaine des faits justifiant sa prétention; la simple vraisemblance ne suffit pas. Si le défendeur fait valoir des objections et exceptions motivées et concluantes, qui ne peuvent être écartées immédiatement et qui sont de nature à ébranler la conviction du juge, la procédure du cas clair est irrecevable (ATF 144 III 462 consid. 3.1; 141 III 23 consid. 3.2; 138 III 620 consid. 5.1.1 et les arrêts cités). La situation juridique est claire lorsque l'application de la norme au cas concret s'impose de façon évidente au regard du texte légal ou sur la base d'une doctrine et d'une jurisprudence éprouvées (ATF 144 III 462 consid. 3.1; 138 III 123 consid. 2.1.2, 620 consid. 5.1.1, 728 consid. 3.3).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144 III 462 consid. 3.1 et les arrêts cités).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144 III 462 consid. 3.1; 140 III 315 consid. 5; arrêt du Tribunal fédéral 4A_600/2017 du</w:t>
      </w:r>
    </w:p>
    <w:p>
      <w:r>
        <w:rPr>
          <w:b/>
        </w:rPr>
        <w:t>E. 2.2</w:t>
      </w:r>
    </w:p>
    <w:p>
      <w:r>
        <w:t>La maxime des débats est applicable (art. 55 al. 1 CPC), sauf dans les deux cas prévus par l'art. 255 CPC (lequel est réservé par l'art. 55 al. 2 CPC), qui ne sont pas pertinents en l'espèce.</w:t>
      </w:r>
    </w:p>
    <w:p>
      <w:r>
        <w:t>- 6/9 -</w:t>
      </w:r>
    </w:p>
    <w:p>
      <w:r>
        <w:t>C/8039/2019 L'action en expulsion pour défaut de paiement du loyer au sens de l'art. 257d CO, comme celle pour défaut de paiement du fermage au sens de l'art. 282 CO, selon la procédure de protection dans les cas clairs (art. 257 CPC), présuppose que le bail ait valablement pris fin, puisque l'extinction du bail est une condition du droit à la restitution des locaux (art. 267 al. 1 CO, respectivement art. 299 al. 1 CO). Le tribunal doit donc trancher à titre préjudiciel la question de la validité de la résiliation, laquelle ne doit être ni inefficace, ni nulle, ni annulable (une prolongation du bail n'entrant pas en ligne de compte lorsque la résiliation est signifiée pour demeure conformément aux art. 257d ou 282 CO). Les conditions de l'art. 257 al. 1 CPC s'appliquent également à cette question préjudicielle (ATF 144 III 462 consid. 3; 142 III 515 consid. 2.2.4 in fine; 141 III 262 consid. 3.2 in fine).</w:t>
      </w:r>
    </w:p>
    <w:p>
      <w:r>
        <w:rPr>
          <w:b/>
        </w:rPr>
        <w:t>E. 2.3</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w:t>
      </w:r>
    </w:p>
    <w:p>
      <w:r>
        <w:rPr>
          <w:b/>
        </w:rPr>
        <w:t>E. 2.4</w:t>
      </w:r>
    </w:p>
    <w:p>
      <w:r>
        <w:t>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w:t>
      </w:r>
    </w:p>
    <w:p>
      <w:r>
        <w:t>- 7/9 -</w:t>
      </w:r>
    </w:p>
    <w:p>
      <w:r>
        <w:t>C/8039/2019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arrêts du Tribunal fédéral 4A_306/2015 du 14 octobre 2015 consid. 2; 4A_641/2011 du 27 janvier 2012 consid. 7; 4A_549/2013 du</w:t>
      </w:r>
    </w:p>
    <w:p>
      <w:r>
        <w:rPr>
          <w:b/>
        </w:rPr>
        <w:t>E. 2.5</w:t>
      </w:r>
    </w:p>
    <w:p>
      <w:r>
        <w:t>Dans le présent cas, il est constant que l'appelant était en retard dans le paiement du loyer du mois de décembre 2018 et qu'il n'a pas procédé au paiement de celui-ci dans le délai comminatoire, venu à échéance le 24 janvier 2019. L'appelant soutient d'une part que les intimés ont commis un abus de droit en résiliant le bail, alors que l'intégralité de la dette, portant sur un seul mois de loyer, avait été réglée avec seulement sept jours de retard. Conformément à la jurisprudence rappelée ci-avant, ce grief tombe à faux, seul un délai d'un ou deux jours ayant été reconnu, dans ce cadre, admissible. D'autre part, l'appelant se prévaut de l'utilisation de la résiliation du bail contrairement à son but, les intimés ayant admis avoir «sauté sur l'occasion» pour mettre un terme au contrat, entraînant l'annulation de la résiliation. Bien que les intimés aient admis avoir saisi l'occasion de l'absence du règlement de la dette dans le délai comminatoire pour résilier le contrat, ce comportement ne saurait leur être reproché. Ils ont également fait valoir avoir rencontré de nombreux problèmes avec l'appelant, ce que celui-ci n'a pas contesté. Il ne peut pas non plus être reproché aux intimés d'avoir mis en demeure l'appelant de s'acquitter de sa dette, ce que celui-ci n'a fait que bien après l'échéance du délai comminatoire. Il importe également peu dans ce cadre que la mise en demeure n'ait porté que sur un seul mois de loyer, celui-ci n'ayant pas été versé dans le délai fixé à cet effet. Il en va de même de la situation comptable de l'appelant postérieure tant à la mise en demeure qu'à la résiliation du bail. Par conséquent, la Cour ne discerne aucun abus de droit des intimés, ni aucune disproportion des intérêts en présence, de sorte que le congé n'est pas annulable.</w:t>
      </w:r>
    </w:p>
    <w:p>
      <w:r>
        <w:rPr>
          <w:b/>
        </w:rPr>
        <w:t>E. 2.6</w:t>
      </w:r>
    </w:p>
    <w:p>
      <w:r>
        <w:t>Compte tenu de l'ensemble des éléments qui précèdent, c'est à bon droit que le Tribunal a retenu que les conditions de la protection du cas clair étaient réunies et a prononcé l'évacuation de l'appelant.</w:t>
      </w:r>
    </w:p>
    <w:p>
      <w:r>
        <w:t>- 8/9 -</w:t>
      </w:r>
    </w:p>
    <w:p>
      <w:r>
        <w:t>C/8039/2019 3. L'appelant conteste l'appréciation du Tribunal s'agissant des mesures d'exécution.</w:t>
      </w:r>
    </w:p>
    <w:p>
      <w:r>
        <w:t>3.1 L'exécution forcée d'un jugement ordonnant l'expulsion d'un locataire est réglée par le droit fédéral (cf. art. 335 et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4A_207/2014 du 19 mai 2014 consid. 3.1). Selon la jurisprudence, une fois le contrat résilié, le paiement des arriérés est sans aucune pertinence pour la question de l'expulsion, car il n'implique pas la conclusion d'un nouveau contrat de bail entre recourant et intimée et ne change strictement rien à l'obligation du recourant de quitter les lieux (arrêt du Tribunal fédéral 4A_366/2016 du 2 septembre 2016 consid. 3). 3.2 Dans le présent cas, l'appelant occupe les locaux depuis plus de treize ans. Le règlement de la dette après l'échéance du délai n'est pas un critère à prendre en considération dans l'examen d'un éventuel sursis à l'exécution de l'évacuation. L'appelant n'a ni allégué ni rendu vraisemblable avoir effectué des démarches en vue de se reloger. Il ne se prévaut d'aucun motif particulier justifiant de sursoir à son évacuation. C'est dès lors à bon droit que le Tribunal a autorisé les intimés à requérir l'évacuation de l'appelant dès l'entrée en force du jugement. 4. Le jugement sera ainsi intégralement confirmé. 5. La procédure est gratuite (art. 22 al. 1 LaCC; ATF 139 III 182 consid. 2.6). * * * * *</w:t>
      </w:r>
    </w:p>
    <w:p>
      <w:r>
        <w:t>- 9/9 -</w:t>
      </w:r>
    </w:p>
    <w:p>
      <w:r>
        <w:t>C/8039/2019 PAR CES MOTIFS, La Chambre des baux et loyers : A la forme : Déclare recevables l'appel et le recours interjetés le 29 juillet 2019 par A______ contre le jugement JTBL/722/2019 rendu le 16 juillet 2019 par le Tribunal des baux et loyers dans la cause C/8039/2019-8-SE. Au fond : Confirme ce jugement. Dit que la procédure est gratuite. Déboute les parties de toutes autres conclusions. Siégeant : Madame Nathalie LANDRY-BARTHE, présidente; Madame Sylvie DROIN, Monsieur Laurent RIEBEN, juges;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7</w:t>
      </w:r>
    </w:p>
    <w:p>
      <w:r>
        <w:t>novembre 2013 consid. 4, in SJ 2014 I 105). Les cas typiques d'abus de droit (absence d'intérêt à l'exercice d'un droit, utilisation d'une institution juridique contrairement à son but, disproportion évidente des intérêts en présence, exercice d'un droit sans ménagement, attitude contradictoire) répondent à cette définition et justifient donc l'annulation du congé; (à cet égard ATF 120 II 105 consid. 3; arrêt du Tribunal fédéral 4A_575/2008 du 19 février 2009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