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ACJC/1425/2022 vom 8. November 2022</w:t>
      </w:r>
    </w:p>
    <w:p>
      <w:r>
        <w:t>GE Cour de justice, 2022-11-08, FR</w:t>
      </w:r>
    </w:p>
    <w:p>
      <w:r>
        <w:rPr>
          <w:b/>
        </w:rPr>
        <w:t xml:space="preserve">Quelle: </w:t>
      </w:r>
      <w:r>
        <w:t>https://mcp.opencaselaw.ch/entscheid/ge_gerichte_ACJC_1425_2022</w:t>
      </w:r>
    </w:p>
    <w:p>
      <w:r>
        <w:t>FR: GE_GERICHTE ACJC/1425/2022 du 8 novembre 2022</w:t>
      </w:r>
    </w:p>
    <w:p>
      <w:r>
        <w:t>IT: GE_GERICHTE ACJC/1425/2022 del 8 novembre 2022</w:t>
      </w:r>
    </w:p>
    <w:p>
      <w:pPr>
        <w:pStyle w:val="Heading2"/>
      </w:pPr>
      <w:r>
        <w:t>Erwägungen</w:t>
      </w:r>
    </w:p>
    <w:p>
      <w:r>
        <w:rPr>
          <w:b/>
        </w:rPr>
        <w:t>E. 1.1</w:t>
      </w:r>
    </w:p>
    <w:p>
      <w:r>
        <w:t>A teneur de l'art. 308 al. 1 let. a CPC, l'appel est recevable contre les décisions de première instance, finales et incidentes, lorsque la valeur litigieuse au dernier état des conclusions atteint au moins 10'000 fr. dans les affaires patrimoniales (art. 308 al. 2 CPC). Le recours est recevable contre les décisions finales, incidentes et provisionnelles de première instance qui ne peuvent faire l'objet d'un appel (art. 319 let. a CPC). En l'espèce, la valeur litigieuse est inférieure à 10'000 fr., de sorte que seule la voie du recours est ouverte (art. 319 let. a CPC) et ce indépendamment de l'indication erronée figurant au pied de la décision, celle-ci ne pouvant créer une voie de droit inexistante (ATF 129 III 88 consid. 2.1; arrêts du Tribunal fédéral 4D_82/2012 du 30 octobre 2012 consid. 2.2; 5A_545/2012 du 21 décembre 2012 consid. 4.2.1). Le recours a été formé selon la forme et dans le délai prescrits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t>- 7/14 -</w:t>
      </w:r>
    </w:p>
    <w:p>
      <w:r>
        <w:t>C/7541/2021</w:t>
      </w:r>
    </w:p>
    <w:p>
      <w:r>
        <w:rPr>
          <w:b/>
        </w:rPr>
        <w:t>E. 2</w:t>
      </w:r>
    </w:p>
    <w:p>
      <w:r>
        <w:t>CC et à la fonction de la subrogation en droit privé exigeait que le privilège dans la participation à la saisie soit sans autre lié au droit à la contribution d'entretien ("privilegium causae") – et non à la personne du créancier – et puisse être exercé par la collectivité publique qui avait fait l'avance de celle-ci (ATF 138 III 145 consid. 3.3.1 et 3.3.2 in JdT 2012 II 505). La Cour a considéré que cette solution devait être retenue que la collectivité publique intervienne sur la base de la cession légale de l'art. 289 al. 2 CC ou suite à une cession conventionnelle (ACJC/1217/2021 du 20 septembre 2021).</w:t>
      </w:r>
    </w:p>
    <w:p>
      <w:r>
        <w:t>- 10/14 -</w:t>
      </w:r>
    </w:p>
    <w:p>
      <w:r>
        <w:t>C/7541/2021</w:t>
      </w:r>
    </w:p>
    <w:p>
      <w:r>
        <w:rPr>
          <w:b/>
        </w:rPr>
        <w:t>E. 2.1</w:t>
      </w:r>
    </w:p>
    <w:p>
      <w:r>
        <w:t>Ont le droit de participer à la saisie sans poursuite préalable et durant un délai de 40 jours à compter de l'exécution de la saisie les enfants du débiteur en raison de leurs créances résultant de l'autorité parentale (art. 111 al. 1 ch. 2 LP). Les personnes mentionnées à l'al. 1, ch. 2, ne peuvent exercer leur droit que si la saisie a été exécutée pendant la durée de l'autorité parentale ou dans l'année qui a suivi la fin de celle-ci; la durée d'un procès ou d'une poursuite n'entre pas en ligne de compte (art. 111 al. 2 LP). Si l'Office des poursuites connaît les personnes ayant le droit de participer à la saisie, il les informe de celle-ci par pli simple (art. 111 al. 3 LP).</w:t>
      </w:r>
    </w:p>
    <w:p>
      <w:r>
        <w:rPr>
          <w:b/>
        </w:rPr>
        <w:t>E. 2.1.1</w:t>
      </w:r>
    </w:p>
    <w:p>
      <w:r>
        <w:t>Le délai commence à courir le jour où la saisie de base a été exécutée dans les faits par l'Office des poursuites. Les art. 31 et 63 LP s'appliquent à la computation du délai de participation privilégiée à la saisie (ATF 106 III 111 consid. 1 in JdT 1982 II 98; TSCHUMY, Commentaire romand, Poursuites et faillites, 2005, n. 4 ad art. 111 LP). La question de savoir si le délai de participation privilégiée à la saisie a été observé est régie par l'art. 32 LP (TSCHUMY, op. cit., n. 5 ad art. 111 LP). Le délai n'est pas susceptible de restitution (JENT-SORENSEN, BSK SchKG, 3ème éd. Bâle 2021 n° 16 ad art. 110 LP et n° 8 ad art. 111 LP; WERNLI, KUKO SchKG n° 12 ad art. 111 LP; JAEGER/WALDER/KULL/KOTTMANN, n° 5 et 7 ad art. 110 LP; DCSO/145/20 du 14 mai 2020 consid. 3.1 et 3.2). La connaissance ou l'absence de connaissance de l'exécution de la saisie de base par les autres créanciers poursuivants est sans influence sur le point de départ du délai, tout comme le moment auquel le créancier saisissant a eu connaissance de la date d'exécution, si bien qu'il n'y a pas lieu de tenir compte du moment où des copies du procès-verbal de saisie ont été communiquées au débiteur et au créancier (ATF 85 III 169; 85 III 171; 98 III 49 consid. 2). La durée du procès intenté par le créancier suite à une opposition du débiteur quant à sa saisie privilégiée n'a pas pour effet de prolonger le délai de 40 jours de l'art. 111 al. 1 LP (ATF 106 III 62 consid. 1). Les créanciers privilégiés ont le droit de participer à une saisie sans poursuite préalable même s'ils y participent déjà pour une autre créance (ATF 98 III 49 consid. 2 in JdT 1974 II 34 p. 36; GILLIERON, Poursuite pour dettes, faillite et concordat, 5ème éd., 2012, n. 1095). Autrement dit, la participation ordinaire et la participation privilégiée peuvent se combiner dans une même procédure de saisie. Est réservé toutefois le cas où la saisie principale aurait été provoquée par le</w:t>
      </w:r>
    </w:p>
    <w:p>
      <w:r>
        <w:t>- 8/14 -</w:t>
      </w:r>
    </w:p>
    <w:p>
      <w:r>
        <w:t>C/7541/2021 créancier privilégié, sans que d'autres poursuivants s'y fussent associés. Dans ce cas, il ne serait pas nécessaire d'admettre la participation à la saisie selon l'art. 111 LP. En effet, une participation privilégiée présuppose, de par son but, une saisie en faveur d'autres créanciers; seule une telle saisie serait susceptible de léser les intérêts du créancier d'aliments s'il ne pouvait pas faire valoir ses droits en même temps (ATF 98 III 49 consid. 1 in JdT 1974 II 34 p. 35; GILLIERON, op. cit., n. 1095).</w:t>
      </w:r>
    </w:p>
    <w:p>
      <w:r>
        <w:rPr>
          <w:b/>
        </w:rPr>
        <w:t>E. 2.1.2</w:t>
      </w:r>
    </w:p>
    <w:p>
      <w:r>
        <w:t>L'Office des poursuites porte les demandes de participation à la connaissance du débiteur et des créanciers; il leur assigne un délai de dix jours pour former opposition. S'il est fait opposition, le participant n'est admis qu'à titre provisoire et il doit introduire son action dans les 20 jours au for de la poursuite, sous peine d'exclusion (art. 111 al. 4 et 5 LP).</w:t>
      </w:r>
    </w:p>
    <w:p>
      <w:r>
        <w:rPr>
          <w:b/>
        </w:rPr>
        <w:t>E. 2.1.3</w:t>
      </w:r>
    </w:p>
    <w:p>
      <w:r>
        <w:t>L'art. 289 al. 2 CC dispose que la prétention à la contribution d'entretien passe avec tous les droits qui lui sont rattachés à la collectivité publique lorsque celle-ci assume l'entretien de l'enfant (subrogation ou cession légale au sens de l'art. 289 al. 2 CC; ATF 137 III 193 consid. 2.1 in JdT 2012 II 147 p. 151). L'Etat est subrogé à due concurrence des montants avancés en faveur des enfants, au sens de l'art. 289 al. 2 CC (art. 10 al. 1 de la loi sur l'avance et le recouvrement des pensions alimentaires du 22 avril 1977 (LARPA – RSGE E 1 25)). Selon la jurisprudence du Tribunal fédéral encore récemment en vigueur, l'art. 289 al. 2 CC incluait aussi bien les prestations futures dont il était établi qu'elles devraient être avancées que celles versées par le passé (ATF 143 III 177 consid. 6.3.2; 137 III 193 consid. 3.8 in JdT 2012 II 147; arrêt du Tribunal fédéral 5D_211/2019 du 29 mai 2020 consid. 5.4.2). Le débiteur d'une contribution d'entretien en faveur d'un enfant qui était assumée en tout ou en partie par la collectivité publique devait, néanmoins, agir en justice à la fois contre l'enfant, par son représentant légal, et contre la collectivité publique, s'il entendait réduire ou supprimer la contribution d'entretien mise à sa charge. En effet, la subrogation ne touchait pas les droits formateurs de l'enfant ni la capacité d'agir en justice de celui-ci en ce qui concernait le rapport durable à la base du droit à l'entretien. L'enfant conservait ainsi sa légitimation passive à côté de celle de la collectivité publique, même quand cette dernière lui était totalement subrogée (par rapport à la durée et au montant) dans son droit à l'entretien (ATF 143 III 177 consid. 6.3.3; arrêt du Tribunal fédéral 5D_211/2019 précité, ibidem). Lorsque la collectivité publique fournissait une aide qui se situait en deçà de la prétention à l'entretien de l'enfant, elle n'était subrogée dans les droits de celui-ci que jusqu'à concurrence des prestations versées; pour le surplus, l'enfant conservait la qualité de créancier des contributions d'entretien dues par les père et</w:t>
      </w:r>
    </w:p>
    <w:p>
      <w:r>
        <w:t>- 9/14 -</w:t>
      </w:r>
    </w:p>
    <w:p>
      <w:r>
        <w:t>C/7541/2021 mère (ATF 123 III 161 consid. 4; arrêt du Tribunal fédéral 5A_643/2016 du 21 juin 2017 consid. 3.1). La collectivité publique qui procédait en qualité de cessionnaire légal des contributions d'entretien dues aux enfants avait le droit de réclamer l'entretien en justice, de demander la modification de la contribution alimentaire, de faire aviser les tiers débiteurs, d'exiger des sûretés et de participer de manière privilégiée à une saisie (ATF 138 III 145 consid. 3.3, 3.3.2 et 3.4.2 in JdT 2012 II 505; 137 III 193 consid. 2.1 in JdT 2012 II 147; arrêt du Tribunal fédéral 5A_643/2016 précité, ibidem). S'agissant de la participation privilégiée, le Tribunal fédéral avait relevé dans son ATF 138 III 145 qu'il résultait des travaux préparatoires que la subrogation s'étendait à toutes les prétentions liées au droit à l'entretien, "notamment" à l'action alimentaire (art. 279 ss CC), au droit à l'avis aux débiteurs (art. 291 CC) et aux sûretés (art. 292 CC). De cela, comme de la systématique de la loi qui place l'art. 289 al. 2 CC dans le chapitre relatif à l'obligation d'entretien, on ne pouvait pas en déduire que le passage des privilèges d'exécution forcée soit exclu. Lors de la révision du Code civil (Message du 5 juin 1974 concernant la modification du Code civil suisse [Filiation], FF 1974 II 1 ch. 322.7 p. 68), le législateur avait voulu faciliter la mise en œuvre et l'exécution de la créance d'aliments. L'aménagement du régime de droit privé devait également clarifier que les contributions d'entretien avancées par la collectivité publique n'étaient pas des prestations d'aide sociale. L'enfant ne devait pas avoir droit à des avances parce qu'il était dans le besoin, mais bien parce que le débiteur d'aliments négligeait son obligation d'entretien. La collectivité publique effectuait la prestation en lieu et place du débiteur défaillant, en contrepartie de quoi elle acquerrait le droit privé du créancier. Le but de la subrogation était d'éviter que le débiteur de la contribution d'entretien profite de sa négligence. Pour cette raison, la collectivité publique qui en faisait l'avance pouvait requérir l'avis aux débiteurs de l'art. 291 CC. La même considération devait s'appliquer au droit de la collectivité publique de demander la participation privilégiée à la saisie au sens de l'art. 111 LP. Comme l'avis aux débiteurs, ce moyen n'était pas directement au service de l'entretien de l'intéressé, mais garantissait la mise en œuvre de la créance d'aliments. Par conséquent, une application de l'art. 111 LP adaptée à l'art. 289 al.</w:t>
      </w:r>
    </w:p>
    <w:p>
      <w:r>
        <w:rPr>
          <w:b/>
        </w:rPr>
        <w:t>E. 2.1.4</w:t>
      </w:r>
    </w:p>
    <w:p>
      <w:r>
        <w:t>Dans deux arrêts 5A_69/2020 et 5A_75/2020 prononcés le 12 janvier 2022 et destinés à la publication, confirmés encore plus récemment dans un arrêt 5A_120/2021 du 11 février 2022, le Tribunal fédéral a partiellement modifié la jurisprudence résumée ci-dessus (cf. consid. 2.1.3). Procédant à une interprétation historique, systématique et téléologique de l'art. 289 al. 2 CC, le Tribunal fédéral a estimé, en substance, que l'obligation d'entretien du parent envers l'enfant découlait directement du rapport de filiation (art. 276 CC) et que le procès en entretien constituait une contestation de nature civile opposant l'enfant créancier, cas échéant représenté par le parent gardien, et le parent débiteur. L'avance des contributions d'entretien et l'avis aux débiteurs visaient quant à eux à concrétiser le droit de l'enfant à l'entretien (arrêt du Tribunal fédéral 5A_75/2020 du 12 janvier 2022 consid. 6.2). La collectivité publique étant, au vu de ce qui précède, subrogée uniquement dans les contributions d'entretien effectivement avancées à l'enfant et non dans le rapport de base ("Stammrecht"), le Tribunal fédéral a dès lors estimé que le procès en fixation ou en modification du montant de la contribution d'entretien de l'enfant opposait ce dernier (ou son représentant légal en tant que Prozesstandschafter) au parent débiteur mais en aucun cas à la collectivité publique. L'enfant disposait par conséquent seul de la légitimation passive dans le cadre de l'action en fixation ou en modification de la contribution introduite par le parent débiteur (arrêts du Tribunal fédéral 5A_75/2020 précité consid. 6.7; 5A_69/2020 précité consid. 6). S'agissant de l'avis aux débiteurs, le Tribunal fédéral a en revanche considéré que le législateur avait clairement manifesté la volonté, à l'occasion de la révision du droit de l'entretien de l'enfant entrée en vigueur le 1er juillet 2017, que la collectivité publique assumant l'entretien de l'enfant reste subrogée, conformément à l'ATF 137 III 193, dans le droit de l'enfant de solliciter cette mesure d'exécution forcée, à condition qu'elle continue à verser des avances d'aliments dans le futur. La faculté de requérir l'avis aux débiteurs à concurrence des contributions d'entretien avancées constituait en effet un droit accessoire ("Nebenrecht") aux avances effectuées par la collectivité et pouvait dès lors être transférée indépendamment du rapport de base. Sa cession se justifiait en outre par des motifs de politique législative. Compte tenu de cette volonté clairement exprimée, il n'y avait pas matière à revenir sur cette jurisprudence (arrêt du Tribunal fédéral 5A_75/2020 précité consid. 6.6).</w:t>
      </w:r>
    </w:p>
    <w:p>
      <w:r>
        <w:rPr>
          <w:b/>
        </w:rPr>
        <w:t>E. 2.2</w:t>
      </w:r>
    </w:p>
    <w:p>
      <w:r>
        <w:t>En l'espèce, il n'est pas contesté que l'action en participation a été déposée en temps utile, soit dans les 20 jours suivants l'opposition formée par l'intimé, au for de la poursuite. Ces points ne seront dès lors pas réexaminés. Seules sont discutées dans le cadre du recours les conditions matérielles du droit de participation privilégiée du recourant à la série de saisie en cours au moment du dépôt de la demande, soit le 1er février 2021, à savoir le respect du délai de 40</w:t>
      </w:r>
    </w:p>
    <w:p>
      <w:r>
        <w:t>- 11/14 -</w:t>
      </w:r>
    </w:p>
    <w:p>
      <w:r>
        <w:t>C/7541/2021 jours suivant l'exécution de la saisie de base, la légitimation active du recourant et la possibilité de celui-ci de requérir une participation privilégiée dans le cadre d'une série de saisies pour laquelle il est le seul créancier participant.</w:t>
      </w:r>
    </w:p>
    <w:p>
      <w:r>
        <w:rPr>
          <w:b/>
        </w:rPr>
        <w:t>E. 2.2.1</w:t>
      </w:r>
    </w:p>
    <w:p>
      <w:r>
        <w:t>S'agissant du respect du délai pour requérir la participation privilégiée, il n'est pas possible, à la lecture des pièces produites, d'établir avec certitude la date exacte à laquelle la saisie de base a été exécutée. En effet, les annexes au courriel de l'Office du 25 janvier 2021 datent du 15 octobre 2020 et portent le même numéro de dossier et on comprend du courriel de l'Office du 25 janvier 2021 que la saisie de base a été effectuée le 25 janvier 2021 puisque le délai de participation de quarante jours indiqué par l'Office arrive à échéance le 8 mars 2021. La question peut toutefois souffrir de demeurer indécise compte tenu du fait que le recours doit, en tout état, être rejeté (cf. consid. 2.2.3 infra).</w:t>
      </w:r>
    </w:p>
    <w:p>
      <w:r>
        <w:rPr>
          <w:b/>
        </w:rPr>
        <w:t>E. 2.2.2</w:t>
      </w:r>
    </w:p>
    <w:p>
      <w:r>
        <w:t>S'agissant de la question de savoir si, au vu de la récente modification de jurisprudence du Tribunal fédéral, il y a toujours lieu d'admettre la légitimation active d'une collectivité publique pour la participation privilégiée à une saisie, la réponse est également positive et c'est à tort que le Tribunal a considéré le contraire. En effet, les arrêts 5A_69/2020 et 5A_75/2020 du 12 janvier 2022 qui considèrent que la collectivité publique ne détient pas la légitimation active dans les actions en modification de contribution d'entretien ont réservé le cas de l'avis aux débiteurs, soit une mesure d'exécution forcée sui generis. L'avis aux débiteurs étant un droit accessoire à l'entretien, il est susceptible d'être transféré à la collectivité publique. On ne voit dès lors pas pourquoi le droit de participation privilégiée, qui est également une mesure d'exécution forcée et un droit accessoire, devrait être traité différemment de l'avis aux débiteurs. La condition ajoutée par les arrêts précités, à savoir la nécessité que la collectivité publique de continuer à verser des avances d'aliments dans le futur pour être légitimée à aviser les tiers débiteurs, ne saurait être transposée mutatis mutandis aux cas de demande de participation privilégiée à la saisie. En effet, ces dernières ont pour but de récupérer les avances déjà versées aux créanciers d'aliments – et non celles qui seront versées dans le futur – sans passer par une poursuite préalable, de sorte que l'on ne voit pas pour quelle raison il serait nécessaire d'imposer à la collectivité publique d'agir pendant qu'elle verse encore des avances au créancier d'aliments – et corollairement de l'empêcher d'agir contre le débiteur d'aliments après la fin de ses prestations en faveur dudit créancier – pour autant qu'elle agisse évidemment dans le respect des délais prévus à l'art. 111 LP. Enfin, comme la Cour l'a déjà jugé, cette solution s'applique que le recourant agisse sur la base de la cession légale ou suite à une cession conventionnelle, comme dans le cas d'espèce. A cet égard, la validité de la cession conventionnelle n'a pas été remise en cause et ne sera pas réexaminée.</w:t>
      </w:r>
    </w:p>
    <w:p>
      <w:r>
        <w:t>- 12/14 -</w:t>
      </w:r>
    </w:p>
    <w:p>
      <w:r>
        <w:t>C/7541/2021 Par conséquent, il y a lieu de retenir que le recourant dispose de la légitimation active pour requérir une participation privilégiée à la série de saisies qui était en cours au moment du dépôt de sa demande le 1er février 2021.</w:t>
      </w:r>
    </w:p>
    <w:p>
      <w:r>
        <w:rPr>
          <w:b/>
        </w:rPr>
        <w:t>E. 2.2.3</w:t>
      </w:r>
    </w:p>
    <w:p>
      <w:r>
        <w:t>En revanche, concernant la question de savoir si le recourant peut participer de manière privilégiée à une série de saisies qu'il a provoquée et à laquelle il est le seul à participer, c'est à juste titre que le Tribunal a répondu par la négative. En effet, à titre liminaire, malgré le fait que le recourant conteste en appel être le seul créancier participant à la série de saisies en cours au moment de sa demande de participation privilégiée, il ressort de son courrier du 12 novembre 2021 au Tribunal qu'il avait admis ce fait en première instance. Ledit fait est par ailleurs établi puisqu'à la lecture du procès-verbal de saisie du 19 mars 2021, seules les créances du recourant sont mentionnées. Ceci étant précisé, la participation privilégiée a pour but d'accorder un avantage procédural au créancier privilégié par rapport à d'autres créanciers ordinaires; cela sous-entend donc l'existence de différents créanciers dans la série de saisies. Lorsque tel n'est pas le cas, comme en l'espèce, une participation privilégiée ne se justifie pas. Le fait de procéder en deux étapes comme l'a fait le recourant, à savoir de manière ordinaire d'abord pour une partie de la créance pour ensuite requérir, pour le solde, une participation privilégiée, implique le risque pour le recourant de ne pas être admis comme créancier privilégié si aucun autre créancier ne se manifeste dans le délai de participation, risque qu'il décide de prendre ou non et qu'il a pris en l'espèce. Partant, le recourant ne pouvait être admis à la série de saisies contre l'intimé n° 1______, dans le groupe n° 2______, sur la base d'une participation privilégiée.</w:t>
      </w:r>
    </w:p>
    <w:p>
      <w:r>
        <w:rPr>
          <w:b/>
        </w:rPr>
        <w:t>E. 2.2.4</w:t>
      </w:r>
    </w:p>
    <w:p>
      <w:r>
        <w:t>A la lumière de ce qui précède, le recours, infondé, sera rejeté.</w:t>
      </w:r>
    </w:p>
    <w:p>
      <w:r>
        <w:rPr>
          <w:b/>
        </w:rPr>
        <w:t>E. 3.1</w:t>
      </w:r>
    </w:p>
    <w:p>
      <w:r>
        <w:t>Les frais judiciaires du recours seront arrêtés à 500 fr. (art. 17 et 38 RTFMC) et mis à la charge du recourant qui succombe (art. 106 al. 1 CPC). Ils seront compensés avec l'avance de frais de même montant versée par le recourant, laquelle demeure acquise à l'Etat de Genève (art. 111 al. 1 CPC).</w:t>
      </w:r>
    </w:p>
    <w:p>
      <w:r>
        <w:rPr>
          <w:b/>
        </w:rPr>
        <w:t>E. 3.2</w:t>
      </w:r>
    </w:p>
    <w:p>
      <w:r>
        <w:t>Le recourant sera en outre condamné à verser à l'intimé un montant de 600 fr., débours et TVA inclus, à titre de dépens de recours (art. 84, 85, 89 et 90 RTFMC). * * * * *</w:t>
      </w:r>
    </w:p>
    <w:p>
      <w:r>
        <w:t>- 13/14 -</w:t>
      </w:r>
    </w:p>
    <w:p>
      <w:r>
        <w:t>C/7541/2021 PAR CES MOTIFS, La Chambre civile : A la forme : Déclare recevable le recours interjeté le 25 mai 2022 par l'ETAT DE GENEVE, DEPARTEMENT DE LA COHESION SOCIALE SOIT POUR LUI LE SCARPA contre le jugement JTPI/4874/2022 rendu le 22 avril 2022 par le Tribunal de première instance dans la cause C/7541/2021. Au fond : Le rejette. Déboute les parties de toutes autres conclusions. Sur les frais : Arrête les frais judiciaires du recours à 500 fr., les met à la charge de l'ETAT DE GENEVE, DEPARTEMENT DE LA COHESION SOCIALE SOIT POUR LUI LE SCARPA, entièrement compensés avec l'avance de frais versée par lui, acquise à l'Etat de Genève. Condamne l'ETAT DE GENEVE, DEPARTEMENT DE LA COHESION SOCIALE SOIT POUR LUI LE SCARPA à verser à A______ 600 fr. à titre de dépens de recours. Siégeant : Madame Jocelyne DEVILLE-CHAVANNE, présidente; Madame Verena PEDRAZZINI RIZZI, Madame Nathalie LANDRY-BARTHE, juges; Madame Camille LESTEVEN, greffière.</w:t>
      </w:r>
    </w:p>
    <w:p>
      <w:r>
        <w:t>La présidente : Jocelyne DEVILLE-CHAVANNE</w:t>
      </w:r>
    </w:p>
    <w:p>
      <w:r>
        <w:t>La greffière : Camille LESTEVEN</w:t>
      </w:r>
    </w:p>
    <w:p>
      <w:r>
        <w:t>Indication des voies de recours :</w:t>
      </w:r>
    </w:p>
    <w:p>
      <w:r>
        <w:t>- 14/14 -</w:t>
      </w:r>
    </w:p>
    <w:p>
      <w:r>
        <w:t>C/7541/2021</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