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ACJC/1422/2012 vom 8. Oktober 2012</w:t>
      </w:r>
    </w:p>
    <w:p>
      <w:r>
        <w:t>GE Cour de justice, 2012-10-08, FR</w:t>
      </w:r>
    </w:p>
    <w:p>
      <w:r>
        <w:rPr>
          <w:b/>
        </w:rPr>
        <w:t xml:space="preserve">Quelle: </w:t>
      </w:r>
      <w:r>
        <w:t>https://mcp.opencaselaw.ch/entscheid/ge_gerichte_ACJC_1422_2012</w:t>
      </w:r>
    </w:p>
    <w:p>
      <w:r>
        <w:t>FR: GE_GERICHTE ACJC/1422/2012 du 8 octobre 2012</w:t>
      </w:r>
    </w:p>
    <w:p>
      <w:r>
        <w:t>IT: GE_GERICHTE ACJC/1422/2012 del 8 ottobre 2012</w:t>
      </w:r>
    </w:p>
    <w:p>
      <w:pPr>
        <w:pStyle w:val="Heading2"/>
      </w:pPr>
      <w:r>
        <w:t>Regeste</w:t>
      </w:r>
    </w:p>
    <w:p>
      <w:r>
        <w:t>Résumé: GARANTIE NON VERSÉE SUR UN COMPTE - RESTITUTION - INTÉRÊTS Dans la mesure où la garantie de loyer, payée en main du bailleur lors de la conclusion du bail, n'a pas été placée sur un compte bancaire, c'est l'intérêt moratoire à 5% l'an, correspondant à la libre disposition de la somme d'argent en question, au sens de l'art. 104 CO, qui est applicable à la créance en restitution du montant de la garantie.</w:t>
      </w:r>
    </w:p>
    <w:p>
      <w:pPr>
        <w:pStyle w:val="Heading2"/>
      </w:pPr>
      <w:r>
        <w:t>Volltext</w:t>
      </w:r>
    </w:p>
    <w:p>
      <w:r>
        <w:t>Résumé: GARANTIE NON VERSÉE SUR UN COMPTE - RESTITUTION - INTÉRÊTS Dans la mesure où la garantie de loyer, payée en main du bailleur lors de la conclusion du bail, n'a pas été placée sur un compte bancaire, c'est l'intérêt moratoire à 5% l'an, correspondant à la libre disposition de la somme d'argent en question, au sens de l'art. 104 CO, qui est applicable à la créance en restitution du montant de la garantie.</w:t>
      </w:r>
    </w:p>
    <w:p>
      <w:r>
        <w:t>Descripteurs: Descripteurs: BAIL À LOYER;SÛRETÉS;GARANTIE BANCAIRE;INTÉRÊT MORATOIRE</w:t>
      </w:r>
    </w:p>
    <w:p>
      <w:r>
        <w:t>Normes: Normes: CO.257e; LGFL.1.al1; LGFL.3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