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ACJC/141/2018 vom 15. Februar 2018</w:t>
      </w:r>
    </w:p>
    <w:p>
      <w:r>
        <w:t>GE Cour de justice, 2018-02-15, FR</w:t>
      </w:r>
    </w:p>
    <w:p>
      <w:r>
        <w:rPr>
          <w:b/>
        </w:rPr>
        <w:t xml:space="preserve">Quelle: </w:t>
      </w:r>
      <w:r>
        <w:t>https://mcp.opencaselaw.ch/entscheid/ge_gerichte_ACJC_141_2018</w:t>
      </w:r>
    </w:p>
    <w:p>
      <w:r>
        <w:t>FR: GE_GERICHTE ACJC/141/2018 du 15 février 2018</w:t>
      </w:r>
    </w:p>
    <w:p>
      <w:r>
        <w:t>IT: GE_GERICHTE ACJC/141/2018 del 15 febbraio 2018</w:t>
      </w:r>
    </w:p>
    <w:p>
      <w:pPr>
        <w:pStyle w:val="Heading2"/>
      </w:pPr>
      <w:r>
        <w:t>Erwägungen</w:t>
      </w:r>
    </w:p>
    <w:p>
      <w:r>
        <w:rPr>
          <w:b/>
        </w:rPr>
        <w:t>E. 1.1</w:t>
      </w:r>
    </w:p>
    <w:p>
      <w:r>
        <w:t>La demande en divorce ayant été introduite avant le 1er janvier 2011, la procédure de première instance était régie par la loi de procédure civile genevoise du 10 avril 1987 (aLPC), en vigueur jusqu'au 31 décembre 2010 (art. 404 al. 1 CPC; arrêts du Tribunal fédéral 4A_8/2012 du 12 avril 2012 consid. 1; 4A_641/2011 du 27 janvier 2012 consid. 2.2). Le jugement contesté ayant été rendu et notifié aux parties après le 1er janvier 2011, la procédure devant la Cour est quant à elle régie par le nouveau droit de procédure (art. 405 al. 1 CPC).</w:t>
      </w:r>
    </w:p>
    <w:p>
      <w:r>
        <w:rPr>
          <w:b/>
        </w:rPr>
        <w:t>E. 1.2</w:t>
      </w:r>
    </w:p>
    <w:p>
      <w:r>
        <w:t>Interjeté dans le délai utile de 30 jours et dans les formes prévues par la loi (art. 130, 131, 142 al. 1, 311 al. 1 CPC), contre une décision finale (art. 308 al. 1 let. a CPC) rendue dans une affaire patrimoniale dont la valeur litigieuse, au dernier état des conclusions de première instance, était supérieure à 10'000 fr. (art. 308 al. 2 CPC), l'appel est recevable.</w:t>
      </w:r>
    </w:p>
    <w:p>
      <w:r>
        <w:rPr>
          <w:b/>
        </w:rPr>
        <w:t>E. 1.3</w:t>
      </w:r>
    </w:p>
    <w:p>
      <w:r>
        <w:t>La Cour revoit la cause avec un plein pouvoir d’examen (cf. art. 310 CPC). Elle applique la maxime des débats et le principe de disposition (art. 55 al. 1, 58 al. 1 et 277 al. 1 CPC).</w:t>
      </w:r>
    </w:p>
    <w:p>
      <w:r>
        <w:t>- 11/20 -</w:t>
      </w:r>
    </w:p>
    <w:p>
      <w:r>
        <w:t>C/26381/2007</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d'office la recevabilité des faits et des moyens de preuve nouveaux en appel (REETZ/HILBER, Kommentar zur Schweizerischen Zivil- prozessordnung [ZPO], 3e éd., 2016, n. 26 ad art. 317 CPC).</w:t>
      </w:r>
    </w:p>
    <w:p>
      <w:r>
        <w:rPr>
          <w:b/>
        </w:rPr>
        <w:t>E. 2.2</w:t>
      </w:r>
    </w:p>
    <w:p>
      <w:r>
        <w:t>En l'espèce, l'intimée a produit à l'appui de sa réponse deux pièces non soumises au Tribunal, soit un contrat de leasing automobile non daté et une facture datée du 6 juin 2017. Si la seconde de ces pièces a vraisemblablement été établie postérieurement à la date à laquelle le Tribunal a gardé la cause à juger, de sorte que l'intimée ne pouvait s'en prévaloir devant le Tribunal, tel n'est pas nécessairement le cas de la première desdites pièces. L'intimée expose toutefois de manière convaincante qu'elle n'a pas été en mesure de produire spontanément le premier de ces documents lors de la dernière audience tenue par le Tribunal, lorsque l'appelant a pour la première fois invoqué le fait qu'elle aurait acquis un nouveau véhicule. La recevabilité de la première comme de la seconde pièce produite par l'intimée devant la Cour sera dès lors admise, ce d'autant que l'appelant ne s'y oppose pas. Rien ne permet par ailleurs de considérer que ces pièces ne seraient pas complètes, comme le soutient l'appelant. Les conséquences d'une éventuelle production incomplète desdites pièces devraient au demeurant être supportées par l'intimée, qui entend étayer par leur biais certaines de ses allégations, et qui est tenue de collaborer à l'administration des preuves (art. 160 al. 1 let. b CPC). Il n'y a dès lors pas lieu de donner suite aux conclusions préalables de l'appelant tendant à ce qu'un délai soit imparti à l'intimée pour produire lesdites pièces dans leur intégralité.</w:t>
      </w:r>
    </w:p>
    <w:p>
      <w:r>
        <w:rPr>
          <w:b/>
        </w:rPr>
        <w:t>E. 3</w:t>
      </w:r>
    </w:p>
    <w:p>
      <w:r>
        <w:t>L'appelant se plaint tout d'abord de ce que le Tribunal aurait établi de manière arbitraire les faits relatifs à sa fortune et à ses revenus.</w:t>
      </w:r>
    </w:p>
    <w:p>
      <w:r>
        <w:rPr>
          <w:b/>
        </w:rPr>
        <w:t>E. 3.1</w:t>
      </w:r>
    </w:p>
    <w:p>
      <w:r>
        <w:t>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3.2</w:t>
      </w:r>
    </w:p>
    <w:p>
      <w:r>
        <w:t>En l'espèce, outre qu'il semble perdre de vue que la Cour revoit en appel les faits avec un plein pouvoir d'examen, et non seulement sous l'angle restreint de l'arbitraire, l'appelant entend en réalité critiquer par le biais de ce moyen le</w:t>
      </w:r>
    </w:p>
    <w:p>
      <w:r>
        <w:t>- 12/20 -</w:t>
      </w:r>
    </w:p>
    <w:p>
      <w:r>
        <w:t>C/26381/2007 raisonnement du Tribunal selon lequel les faits relatifs à sa fortune et à ses revenus avaient en grande partie été établis par la Cour dans deux arrêts rendus dans la présente cause, de sorte qu'il n'y avait pas lieu d'y revenir. Sous couvert d'arbitraire, l'appelant s'en prend également au raisonnement du Tribunal selon lequel, à supposer que ses revenus et sa fortune aient connu une diminution depuis le prononcé desdits arrêts, l'appelant ne pouvait exciper d'une telle diminution, dès lors qu'il l'avait lui-même provoquée en choisissant de réorienter son activité professionnelle dès le début de l'année 2012. Or, ces raisonnements relèvent du droit et il n'y a pas lieu de revoir leur bien-fondé sous l'angle de l'établissement des faits. Pour ce motif déjà, le grief tiré de l'arbitraire doit être écarté, les motifs invoqués par l'appelant devant être examinés en tant que de besoin dans le cadre de l'application du droit. On ne saurait par ailleurs reprocher au Tribunal, même au titre d'une constatation simplement inexacte des faits, de ne pas avoir retenu que la fortune de l'appelant se limitait aux montants (décroissants) allégués par celui-ci, alors que les relevés bancaires produits émanaient d'un seul établissement bancaire et ne reflétaient pas nécessairement l'état de l'ensemble de sa fortune. De même, le Tribunal n'a pas établi les faits de manière inexacte en constatant que les revenus récents de l'appelant ne pouvaient pas être arrêtés aux montants indiqués par celui-ci, dès lors qu'ils comprenaient notamment des remboursements de voyages non professionnels – ce que l'appelant reconnait d'ailleurs aujourd'hui – et qu'un simple calcul permettait de vérifier que le déficit entre les revenus et les charges allégués par l'appelant ne se traduisait pas par une diminution correspondante de sa fortune, même selon les chiffres qu'il indiquait, ce qui démontrait que l'appelant disposait en réalité de revenus supérieurs. Au surplus, le fait que l'appelant ait lui- même choisi de réorienter son activité professionnelle en 2012, contesté par l'appelant dans sa réplique et dont le Tribunal a déduit que celui-ci ne pouvait se prévaloir d'une éventuelle baisse de ses revenus, a quant à lui été retenu par la Cour de céans dans son arrêt du 31 août 2012. Comme indiqué ci-dessus, la question de savoir si le Tribunal pouvait s'écarter de cette constatation, à supposer qu'elle fût inexacte, relève aujourd'hui de l'application du droit, et non de l'établissement des faits. Pour ces motifs également, les griefs de l'appelant quant aux faits retenus par le Tribunal seront écartés.</w:t>
      </w:r>
    </w:p>
    <w:p>
      <w:r>
        <w:rPr>
          <w:b/>
        </w:rPr>
        <w:t>E. 4</w:t>
      </w:r>
    </w:p>
    <w:p>
      <w:r>
        <w:t>L'appelant reproche au Tribunal une violation de son droit d'être entendu concernant la capacité contributive de l'intimée. Il lui fait grief de ne pas avoir tenu compte du fait que l'intimée avait fait l'acquisition d'un coûteux véhicule, ce qu'il avait pourtant régulièrement allégué.</w:t>
      </w:r>
    </w:p>
    <w:p>
      <w:r>
        <w:t>- 13/20 -</w:t>
      </w:r>
    </w:p>
    <w:p>
      <w:r>
        <w:t>C/26381/2007</w:t>
      </w:r>
    </w:p>
    <w:p>
      <w:r>
        <w:rPr>
          <w:b/>
        </w:rPr>
        <w:t>E. 4.1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w:t>
      </w:r>
    </w:p>
    <w:p>
      <w:r>
        <w:rPr>
          <w:b/>
        </w:rPr>
        <w:t>E. 4.2</w:t>
      </w:r>
    </w:p>
    <w:p>
      <w:r>
        <w:t>En l'espèce, l'appelant ne soutient pas que l'acquisition du véhicule litigieux par l'intimée résulterait du fait que celle-ci dispose de ressources ou de revenus propres, dont le Tribunal n'aurait pas tenu compte. Il soutient uniquement que l'intimée a pu procéder à cette acquisition grâce aux économies que lui procure la contribution d'entretien fixée sur mesures provisionnelles, dont il déduit qu'elle serait excessivement élevée. Ce faisant, l'appelant ne remet pas en cause la capacité contributive de l'intimée, qui a été jugée nulle nonobstant le résultat final de la liquidation des rapports matrimoniaux, mais l'adéquation de la contribution d'entretien qui lui a été allouée; il se méprend lorsqu'il invoque une violation de son droit d'être entendu en relation avec l'appréciation de cette capacité. En réalité, l'appelant reproche au Tribunal de ne pas avoir tenu compte de l'acquisition du véhicule en question dans la fixation du montant de la contribution d'entretien litigieuse, en omettant de retenir que ladite contribution excédait le niveau d'entretien post-divorce que lui-même jugeait admissible. En l'occurrence, le Tribunal a cependant expressément relevé que l'entretien convenable de</w:t>
      </w:r>
    </w:p>
    <w:p>
      <w:r>
        <w:t>- 14/20 -</w:t>
      </w:r>
    </w:p>
    <w:p>
      <w:r>
        <w:t>C/26381/2007 l'intimée avait été arrêté aux montants litigieux, correspondant au maintien du train de vie antérieur à la séparation des parties, par la Cour dans son arrêt du</w:t>
      </w:r>
    </w:p>
    <w:p>
      <w:r>
        <w:rPr>
          <w:b/>
        </w:rPr>
        <w:t>E. 6</w:t>
      </w:r>
    </w:p>
    <w:p>
      <w:r>
        <w:t>Les frais judiciaires d'appel, arrêtés à 10'000 fr. (art. 30 et 35 RTFMC), seront mis à la charge de l'appelant, qui succombe (art. 95 al. 2, 105 et 106 al. 1 CPC). Ils seront partiellement compensés avec l'avance de frais de 1'000 fr. fournie par l'appelant, qui demeure acquise à l'Etat (art. 111 al. 1 CPC). L'appelant sera condamné à verser à l'Etat, soit pour lui les Services financiers du pouvoir judiciaire, la somme de 9'000 fr. représentant le solde des frais.</w:t>
      </w:r>
    </w:p>
    <w:p>
      <w:r>
        <w:t>- 19/20 -</w:t>
      </w:r>
    </w:p>
    <w:p>
      <w:r>
        <w:t>C/26381/2007 Compte tenu de la nature familiale du litige, il ne sera pas alloué de dépens d'appel (art. 107 al. 1 let. c CPC). * * * * * *</w:t>
      </w:r>
    </w:p>
    <w:p>
      <w:r>
        <w:t>- 20/20 -</w:t>
      </w:r>
    </w:p>
    <w:p>
      <w:r>
        <w:t>C/26381/2007</w:t>
      </w:r>
    </w:p>
    <w:p>
      <w:r>
        <w:t>PAR CES MOTIFS, La Chambre civile : A la forme : Déclare recevable l'appel interjeté le 26 juin 2017 par A______ contre le jugement JTPI/6890/2017 rendu le 23 mai 2017 par le Tribunal de première instance dans la cause C/26381/2007-10. Au fond : Confirme ce jugement. Déboute les parties de toutes autres conclusions. Sur les frais : Arrête les frais judiciaires d'appel à 10'000 fr, les met à la charge de A______ et les compense partiellement avec l'avance de frais de 1'000 fr. fournie par celui-ci, qui demeure acquise à l'Etat de Genève. Condamne A______ à payer à l'Etat de Genève, soit pour lui les Services financiers du Pouvoir judiciaire, la somme de 9'000 fr. Dit que chaque partie supporte ses propres dépens. Siégeant : Monsieur Laurent RIEBEN, président; Madame Fabienne GEISINGER-MARIETHOZ, Monsieur Ivo BUETTI,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