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ACJC/1415/2023 vom 17. Oktober 2023</w:t>
      </w:r>
    </w:p>
    <w:p>
      <w:r>
        <w:t>GE Cour de justice, 2023-10-17, FR</w:t>
      </w:r>
    </w:p>
    <w:p>
      <w:r>
        <w:rPr>
          <w:b/>
        </w:rPr>
        <w:t xml:space="preserve">Quelle: </w:t>
      </w:r>
      <w:r>
        <w:t>https://mcp.opencaselaw.ch/entscheid/ge_gerichte_ACJC_1415_2023</w:t>
      </w:r>
    </w:p>
    <w:p>
      <w:r>
        <w:t>FR: GE_GERICHTE ACJC/1415/2023 du 17 octobre 2023</w:t>
      </w:r>
    </w:p>
    <w:p>
      <w:r>
        <w:t>IT: GE_GERICHTE ACJC/1415/2023 del 17 ottobre 2023</w:t>
      </w:r>
    </w:p>
    <w:p>
      <w:pPr>
        <w:pStyle w:val="Heading2"/>
      </w:pPr>
      <w:r>
        <w:t>Erwägungen</w:t>
      </w:r>
    </w:p>
    <w:p>
      <w:r>
        <w:rPr>
          <w:b/>
        </w:rPr>
        <w:t>E. 1.1</w:t>
      </w:r>
    </w:p>
    <w:p>
      <w:r>
        <w:t>La décision admettant l'appel en cause (cf. art. 82 al. 4 CPC), de même que celle le refusant, sont susceptibles de faire l'objet d'un recours limité au droit selon l'art. 319 let. b ch. 1 CPC (arrêt du Tribunal fédéral 5A_191/2013 du 1er novembre 2013 consid. 3.1 et les références). La loi prévoit que le recours, écrit et motivé, est introduit auprès de l'instance de recours dans les 30 jours à compter de la notification de la décision entreprise (art. 321 al. 1 CPC). Le délai est de 10 jours pour les décisions prises en</w:t>
      </w:r>
    </w:p>
    <w:p>
      <w:r>
        <w:t>- 8/15 -</w:t>
      </w:r>
    </w:p>
    <w:p>
      <w:r>
        <w:t>C/18121/2020 procédure sommaire et les ordonnances d'instruction, à moins que la loi n'en dispose autrement (al. 2).</w:t>
      </w:r>
    </w:p>
    <w:p>
      <w:r>
        <w:rPr>
          <w:b/>
        </w:rPr>
        <w:t>E. 1.2</w:t>
      </w:r>
    </w:p>
    <w:p>
      <w:r>
        <w:t>En l'espèce, le recours a été interjeté selon la forme prescrite par la loi (art. 130, 131 CPC), dans un délai de dix jours suivant la notification du jugement entrepris. Il est dès lors recevable, sans qu'il ne soit nécessaire d'examiner plus avant la question de savoir si la décision querellée doit être considérée comme une ordonnance d'instruction soumise à un délai de recours de 10 jours (art. 321 al. 2 CPC), ou plutôt comme une "autre décision" au sens de l'art. 319 let. b ch. 1 CPC, soumise au délai de 30 jours (ACJC/848/2022 du 21 juin 2022 consid. 1.2; ACJC/715/2021 du 21 décembre 2021 consid. 1.1 et les références).</w:t>
      </w:r>
    </w:p>
    <w:p>
      <w:r>
        <w:rPr>
          <w:b/>
        </w:rPr>
        <w:t>E. 1.3</w:t>
      </w:r>
    </w:p>
    <w:p>
      <w:r>
        <w:t>Sont également recevables les réponses des intimés, déposées dans le délai légal (art. 322 al. 2 CPC), ainsi que les réplique et dupliques respectives (ATF 146 III 97 consid. 3.4.1; 142 III 48 consid. 4.1.1).</w:t>
      </w:r>
    </w:p>
    <w:p>
      <w:r>
        <w:rPr>
          <w:b/>
        </w:rPr>
        <w:t>E. 1.4</w:t>
      </w:r>
    </w:p>
    <w:p>
      <w:r>
        <w:t>Le pouvoir d'examen de la Cour est limité à la violation du droit et à la constatation manifestement inexacte des faits (art. 320 CPC). La présente procédure est régie par la maxime des débats, qui prévoit que les parties allèguent les faits sur lesquels elles fondent leurs prétentions et produisent les preuves qui s'y rapportent (art. 55 al. 1 CPC).</w:t>
      </w:r>
    </w:p>
    <w:p>
      <w:r>
        <w:rPr>
          <w:b/>
        </w:rPr>
        <w:t>E. 2</w:t>
      </w:r>
    </w:p>
    <w:p>
      <w:r>
        <w:t>La recourante conteste la décision du Tribunal d'admettre partiellement la demande d'appel en cause formée par B______ (ci-après désignée comme l'intimée).</w:t>
      </w:r>
    </w:p>
    <w:p>
      <w:r>
        <w:rPr>
          <w:b/>
        </w:rPr>
        <w:t>E. 2.1</w:t>
      </w:r>
    </w:p>
    <w:p>
      <w:r>
        <w:t>Chaque partie au procès principal peut appeler en cause un tiers contre lequel elle a des prétentions pour le cas où elle succomberait sur la demande principale (art. 81 al. 1 CPC). Il résulte du texte même de cet article que la prétention revendiquée dans l'appel en cause doit présenter un lien de connexité matérielle avec la demande principale. Ainsi, seules les prétentions qui dépendent de l'existence de la demande principale peuvent être exercées dans l'appel en cause. Il s'agit notamment des prétentions en garantie contre un tiers, des prétentions récursoires ou en dommages-intérêts, ainsi que des droits de recours contractuels ou légaux (ATF 147 III 166 consid. 3.1; 142 III 102 consid. 3.1; 139 III 67 consid. 2.4.3). En d'autres termes, pour qu'il y ait connexité matérielle, il suffit que, selon l'exposé du dénonçant, la prétention dépende de l'issue de la procédure portant sur l'action principale et qu'ainsi, un potentiel intérêt récursoire soit démontré. Il faut en distinguer les prétentions connexes, qui sont certes en connexité matérielle avec le procès principal, mais dont l'existence ne dépend pas de l'issue de celui-ci, et qui constituent des prétentions indépendantes contre le tiers ne justifiant pas</w:t>
      </w:r>
    </w:p>
    <w:p>
      <w:r>
        <w:t>- 9/15 -</w:t>
      </w:r>
    </w:p>
    <w:p>
      <w:r>
        <w:t>C/18121/2020 l'appel en cause (arrêts du Tribunal fédéral 5A_753/2021 du 27 janvier 2022 consid. 2.1; 4A_341/2014 du 5 novembre 2014 consid. 3.3 et la référence, résumé in CPC Online, ad art. 84 CPC; HALDY, in Commentaire romand, Code de procédure civile, 2ème éd. 2019, n° 6 ad art. 81 CPC; DEMIERRE, in Petit commentaire CPC, 2020, n° 11 ad art. 81 CPC). La prétention faisant l'objet de l'appel en cause apparaît donc comme l'accessoire de celle qui fait l'objet de l'action principale (SCHWANDER, in Kommentar ZPO, 2ème éd. 2016, n° 12 et 22 ad art. 81 CPC). Tel est par exemple le cas lorsqu'un maître de l'ouvrage s'en prend à un entrepreneur général qui veut se retourner le cas échéant contre un sous-traitant (HALDY, op. cit, n° 3 ad art. 81 CPC). Certains auteurs admettent que l'appel en cause couvre également l'hypothèse dans laquelle l'appelant entend simplement pouvoir opposer le jugement rendu à l'appelé (HALDY, op. cit., n°4 ad art. 81 CPC; SCHWANDER, op. cit., n° 19 ad art. 81 CPC). Il s'agit d'une interprétation extensive de la norme. Il n'y a toutefois aucune controverse en ce qui concerne la possibilité donnée au dénonçant de faire valoir contre l'appelé des prétentions non récursoires, mais simplement connexes à celles qui sont en cause. Cette possibilité est bannie du texte légal et ne ressort pas de la volonté du législateur (FREI, in BSK ZPO, n° 13 et 14 ad art. 81 CPC; HAHN, in Handkommentar ZPO, n° 6 et 7 ad art. 81 CPC).</w:t>
      </w:r>
    </w:p>
    <w:p>
      <w:r>
        <w:rPr>
          <w:b/>
        </w:rPr>
        <w:t>E. 2.2</w:t>
      </w:r>
    </w:p>
    <w:p>
      <w:r>
        <w:t>Aux termes du jugement entrepris, le Tribunal a considéré - s'agissant de la question litigieuse devant la Cour - que l'intimée avait signé un contrat d'assurance avec la recourante et qu'elle faisait valoir des prétentions contre cet assureur en lien avec ce contrat. Ses conclusions relatives à ses honoraires d'avocat dans la présente procédure (conclusions n° 7 et 8, anciennement n° 10 et 11) dépendaient du sort qui serait réservé aux prétentions reconventionnelles dont elle faisait l'objet de la part des hoirs. Il existait dès lors un lien de connexité matérielle entre ces prétentions et la demande principale (soit la demande reconventionnelle en l'occurrence). En outre, la conclusion n° 7 était chiffrée et la conclusion n° 8 ne pouvait l'être à la date du dépôt de la demande d'appel en cause. Partant, l'appel en cause concernant ces deux conclusions était recevable. Il l'était également "s'agissant des conclusions n° 11 à 13 (anciennement n° 14 à 16) en lien avec les frais et dépens avec les conclusions n° 7 et 8".</w:t>
      </w:r>
    </w:p>
    <w:p>
      <w:r>
        <w:rPr>
          <w:b/>
        </w:rPr>
        <w:t>E. 2.3</w:t>
      </w:r>
    </w:p>
    <w:p>
      <w:r>
        <w:t>La recourante reproche au Tribunal d'avoir retenu que les conclusions n° 10 et 11 formulées par l'intimée (renumérotées n° 7 et 8 selon l'écriture du 13 septembre 2022) présentaient un lien de dépendance avec les conclusions reconventionnelles dont celle-ci faisait l'objet. L'intimée n'avait en effet ni allégué ni démontré que les frais de défense qu'elle réclamait à son assurance RC dépendaient du sort des conclusions reconventionnelles prises contre elle par les hoirs. Le Tribunal avait en outre manifestement omis de constater ce que couvrait le contrat d'assurance RC professionnelle d'avocat s'agissant des frais de défense. Or, il découlait des</w:t>
      </w:r>
    </w:p>
    <w:p>
      <w:r>
        <w:t>- 10/15 -</w:t>
      </w:r>
    </w:p>
    <w:p>
      <w:r>
        <w:t>C/18121/2020 CGA que la recourante prenait à sa charge les frais de défense de l'assurée si le cas était couvert et cela indépendamment de l'issue du procès dont l'assurée faisait l'objet. Les prétentions de l'intimée tendant à la prise en charge de ses frais de défense constituaient dès lors des prétentions indépendantes contre un tiers au sens de la jurisprudence. Celles-ci n'étaient en revanche pas récursoires et ne pouvaient pas justifier l'appel en cause. Le Tribunal aurait dès lors dû déclarer la requête d'appel en cause irrecevable, subsidiairement la rejeter. L'intimée fait quant à elle valoir que les prétentions des hoirs à son encontre étaient fondées sur sa responsabilité contractuelle au sens de l'art. 398 CO. La recourante refusait toutefois de couvrir ses frais de défense au motif que lesdites prétentions constituaient des "prétentions pour enrichissement illégitime et en restitution" qui étaient exclues de la couverture d'assurance au sens de l'art. 7.25 CGA. Sa prétention tendant à la prise en charge de ses frais d'avocat dépendait dès lors de la qualification juridique des créances des hoirs. Si celles-ci étaient admises à titre de responsabilité contractuelle, le sinistre, et donc ses frais de défense, étaient assurés; si elles étaient admises à titre d'enrichissement illégitime, le sinistre ne l'était pas. En cas de déboutement des hoirs, le Tribunal devrait également statuer sur cette qualification juridique dès lors que celle-ci était déterminante pour la couverture d'assurance. La condition du lien de connexité était ainsi remplie.</w:t>
      </w:r>
    </w:p>
    <w:p>
      <w:r>
        <w:rPr>
          <w:b/>
        </w:rPr>
        <w:t>E. 2.4</w:t>
      </w:r>
    </w:p>
    <w:p>
      <w:r>
        <w:t>En l'espèce, et comme le relèvent à juste titre les hoirs, le Tribunal s'est borné à affirmer de façon générale que les conclusions n° 10 et 11 de l'intimée (renumérotées n° 7 et 8) dépendaient du sort de la demande reconventionnelle, sans expliquer plus avant en quoi elles étaient concrètement liées à celle-ci. Or, à y regarder de plus près, le lien de connexité devant relier ces conclusions à la demande fait précisément défaut. In casu, la question à trancher pour juger de l'admissibilité de l'appel en cause de la recourante est celle de savoir si l'issue de l'action reconventionnelle formée par les hoirs à l'encontre de l'intimée est susceptible d'avoir un effet sur la prétention de cette dernière tendant à la prise en charge de ses frais de défense par la recourante. Or, conformément aux CGA applicables - lesquelles ont été dûment alléguées en première instance et dont la portée n'a pas été contestée, de sorte que l'état de fait a été complété sur ce point (voir supra, En fait, let. C.l) -, lesdits frais sont couverts indépendamment de l'issue du procès dont fait l'objet l'assurée. L'obligation de la recourante de prendre à sa charge les frais en question ne dépend dès lors pas de l'admission ou du rejet des prétentions reconventionnelles des hoirs, mais de la question de savoir si le sinistre est couvert ou non en vertu desdites CGA. Il s'ensuit qu'il n'existe pas, sous cet angle, un intérêt récursoire potentiel de l'intimée envers la recourante justifiant l'appel en cause de cette dernière.</w:t>
      </w:r>
    </w:p>
    <w:p>
      <w:r>
        <w:t>- 11/15 -</w:t>
      </w:r>
    </w:p>
    <w:p>
      <w:r>
        <w:t>C/18121/2020 Le fait que le procès principal soit susceptible de déterminer le fondement juridique des prétentions reconventionnelles dont l'intimée fait l'objet, et puisse dès lors être pertinent pour décider si la couverture d'assurance est donnée ou non, ne suffit pas non plus pour admettre l'appel en cause. Il demeure en effet que, même si cette question devait être tranchée à titre incident dans le cadre du litige opposant l'intimée aux hoirs (étant précisé qu'elle ne le sera pas nécessairement, le Tribunal pouvant décider de laisser ladite question ouverte au motif qu'elle est sans pertinence pour statuer sur les prétentions des hoirs), l'issue même du litige, à savoir l'éventuelle condamnation de l'intimée à devoir indemniser les hoirs, restera sans portée pour les prétentions que l'intimée entend élever à l'encontre de la recourante, lesquelles sont dues que l'intéressée succombe ou non. En ce sens, le lien de connexité matérielle devant exister entre les conclusions reconventionnelles des hoirs et la créance objet de l'appel en cause fait défaut. Le souhait de l'intimée de pouvoir opposer à son assurance RC l'autorité de chose jugée que le jugement du Tribunal pourrait - par hypothèse - revêtir s'agissant de la qualification juridique des prétentions des hoirs à son encontre (enrichissement illégitime ou responsabilité contractuelle) n'est pour le surplus pas suffisant pour ordonner l'appel en cause de la recourante. Cette hypothèse n'est pas admise par la jurisprudence relative à l'art. 81 al. 1 CPC. La condition de connexité matérielle entre la demande principale (reconventionnelle en l'espèce) et les créances de l'intimée tendant à la prise en charge de ses frais de défense n'étant par conséquent pas réalisée, la demande d'appel en cause de la recourante aurait dû être rejetée en tant qu'elle concernait les prétentions de l'intimée en lien avec ses honoraires d'avocat pour la procédure l'opposant aux hoirs et les frais et dépens y relatifs. Le chiffre 1 du dispositif du jugement entrepris sera réformé en ce sens. Au vu de ce qui précède, la question de savoir si l'appel en cause formé par l'intimée aurait dû être déclaré irrecevable au motif que celle-ci n'avait pas - comme le soutiennent la recourante et les hoirs - suffisamment motivé en quoi les prétentions élevées à l'encontre de son assurance RC dépendaient concrètement de l'issue de la procédure portant sur l'action principale, peut souffrir de rester indécise.</w:t>
      </w:r>
    </w:p>
    <w:p>
      <w:r>
        <w:rPr>
          <w:b/>
        </w:rPr>
        <w:t>E. 3.1</w:t>
      </w:r>
    </w:p>
    <w:p>
      <w:r>
        <w:t>Le Tribunal statue sur les frais dans la décision finale (art. 104 al. 1 CPC). Les frais - qui comprennent les frais judiciaires et les dépens (art. 95 al. 1 CPC) - sont mis à la charge de la partie qui succombe (art. 106 al. 1 1ère phrase CPC). Lorsque la Cour statue à nouveau, elle se prononce sur les frais de la première instance (art. 318 al. 3 CPC applicable par analogie à l'instance de recours lorsque</w:t>
      </w:r>
    </w:p>
    <w:p>
      <w:r>
        <w:t>- 12/15 -</w:t>
      </w:r>
    </w:p>
    <w:p>
      <w:r>
        <w:t>C/18121/2020 celle-ci réforme la décision précédente; cf. JEANDIN, in Commentaire romand, Code de procédure civile, 2ème éd. 2019, n°9 ad art. 327 CPC).</w:t>
      </w:r>
    </w:p>
    <w:p>
      <w:r>
        <w:rPr>
          <w:b/>
        </w:rPr>
        <w:t>E. 3.2</w:t>
      </w:r>
    </w:p>
    <w:p>
      <w:r>
        <w:t>En l'espèce, le Tribunal a renvoyé la fixation des frais judiciaires liés à la décision sur l'appel en cause à la décision finale. La demande d'appel en cause étant cependant rejetée aux termes du présent arrêt, les frais en question seront fixés à 1'000 fr. (art. 96, 104 al. 1, 105 al. 1 CPC; 20 al. 1 RTFMC) et mis à la charge de l'intimée, qui succombe. Ils seront compensés avec l'avance du même montant effectuée par la précitée, qui reste acquise à l'Etat de Genève (art. 111 al. 1 CPC). L'intimée sera également condamnée à verser 1'800 fr. à titre de dépens de première instance à la recourante d'une part et aux hoirs, pris solidairement, d'autre part (art. 95 al. 3, 96 et 105 al. 2 CPC; 84, 85 et 87 RTFMC), débours et TVA compris (art. 25 et 26 LaCC), compte tenu du travail estimé pour les deux écritures déposées par les conseils de chacune de ces parties. Le chiffre 3 du dispositif entrepris sera réformé en ce sens.</w:t>
      </w:r>
    </w:p>
    <w:p>
      <w:r>
        <w:rPr>
          <w:b/>
        </w:rPr>
        <w:t>E. 3.3</w:t>
      </w:r>
    </w:p>
    <w:p>
      <w:r>
        <w:t>Les frais judiciaires du recours seront arrêtés à 1'200 fr. (art. 95 al. 1 et 2, 96, 104 al. 1, 105 al. 1 CPC; 41 RTFMC) et compensés avec l'avance de frais de même montant effectuée par la recourante, qui reste acquise à l'Etat de Genève (art. 111 al. 1 CPC). Compte tenu de l'issue du présent litige, ces frais seront mis à la charge de l'intimée (art. 106 al. 1 CPC). Celle-ci sera par conséquent condamnée à verser 1'200 fr. à la recourante à titre de remboursement de l'avance fournie par celle-ci. L'intimée sera également condamnée à verser 1'500 fr. à titre de dépens de recours à la recourante d'une part et aux hoirs, pris solidairement, d'autre part (art. 95 al. 3, 96 et 105 al. 2 CPC; 84, 85 et 90 RTFMC), débours et TVA compris (art. 25 et 26 LaCC), compte tenu de l'activité déployée par leurs conseils devant la Cour. Les exécuteurs testamentaires s'en étant remis à justice, il n'y a pas lieu de leur allouer de dépens. * * * * *</w:t>
      </w:r>
    </w:p>
    <w:p>
      <w:r>
        <w:t>- 13/15 -</w:t>
      </w:r>
    </w:p>
    <w:p>
      <w:r>
        <w:t>C/18121/2020 PAR CES MOTIFS, La Chambre civile :</w:t>
      </w:r>
    </w:p>
    <w:p>
      <w:r>
        <w:t>A la forme : Déclare recevable le recours interjeté par A______ SA le 11 octobre 2022 contre le jugement JTPI/11428/2022 rendu le 30 septembre 2022 par le Tribunal de première instance dans la cause C/18121/2020-5. Au fond : Annule les chiffres 1 et 3 du dispositif du jugement entrepris et statuant à nouveau sur ces points : Rejette la demande d'appel en cause de A______ SA formée par B______ en tant qu'elle concerne ses prétentions en lien avec ses honoraires d'avocat pour la procédure l'opposant à C______, D______, E______, F______ et G______, et les frais et dépens y relatifs. Arrête les frais judiciaires de première instance à 1'000 fr., les met à la charge de B______ et les compense avec l'avance fournie par la précitée, qui reste acquise à l'Etat de Genève. Condamne B______ à verser 1'800 fr. à A______ SA à titre de dépens de première instance. Condamne B______ à verser 1'800 fr. à C______, D______, E______, F______ et G______, pris solidairement, à titre de dépens de première instance. Déboute les parties de toutes autres conclusions. Sur les frais du recours : Arrête les frais judiciaires du recours à 1'200 fr., les met à la charge de B______ et les compense avec l'avance versée par A______ SA, laquelle reste acquise à l'Etat de Genève. Condamne B______ à rembourser à A______ SA 1'200 fr. à titre de frais judiciaires.</w:t>
      </w:r>
    </w:p>
    <w:p>
      <w:r>
        <w:t>- 14/15 -</w:t>
      </w:r>
    </w:p>
    <w:p>
      <w:r>
        <w:t>C/18121/2020 Condamne B______ à verser 1'500 fr. à A______ SA à titre de dépens de recours. Condamne B______ à verser 1'500 fr. à C______, D______, E______, F______ et G______, pris solidairement, à titre de dépens de recours. Siégeant : Madame Ursula ZEHETBAUER GHAVAMI, présidente; Monsieur Ivo BUETTI, Monsieur Jean REYMOND,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t>- 15/15 -</w:t>
      </w:r>
    </w:p>
    <w:p>
      <w:r>
        <w:t>C/18121/2020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