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ACJC/1415/2022 vom 3. November 2022</w:t>
      </w:r>
    </w:p>
    <w:p>
      <w:r>
        <w:t>GE Cour de justice, 2022-11-03, FR</w:t>
      </w:r>
    </w:p>
    <w:p>
      <w:r>
        <w:rPr>
          <w:b/>
        </w:rPr>
        <w:t xml:space="preserve">Quelle: </w:t>
      </w:r>
      <w:r>
        <w:t>https://mcp.opencaselaw.ch/entscheid/ge_gerichte_ACJC_1415_2022</w:t>
      </w:r>
    </w:p>
    <w:p>
      <w:r>
        <w:t>FR: GE_GERICHTE ACJC/1415/2022 du 3 novembre 2022</w:t>
      </w:r>
    </w:p>
    <w:p>
      <w:r>
        <w:t>IT: GE_GERICHTE ACJC/1415/2022 del 3 novembre 2022</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Le litige portant exclusivement sur le montant de contributions d'entretien et les arriérés y relatifs, il est de nature pécuniaire (ATF 133 III 393 consid. 2; arrêts du Tribunal fédéral 5A_42/2013 du 27 juin 2013 consid. 1.1; 5A_906/2012 du 18 avril 2013 consid. 1; 5A_236/2011 du 18 octobre 2011 consid. 1). En l'espèce, la capitalisation, conformément à l'art. 92 al. 1 CPC, du montant des contributions d'entretien restées litigieuses au vu des dernières conclusions des parties devant le premier juge excède largement 10'000 fr. Formés en temps utile et selon la forme prescrite par la loi (art. 130 al. 1 et 314 al. 1 CPC), les appels sont recevables. Dirigés contre le même jugement et comportant des liens étroits, les appels seront traités dans la même décision (art. 125 let. c CPC). L'épouse sera ci-après désignée en qualité d'appelante et l'époux en qualité d'intimé.</w:t>
      </w:r>
    </w:p>
    <w:p>
      <w:r>
        <w:rPr>
          <w:b/>
        </w:rPr>
        <w:t>E. 1.2</w:t>
      </w:r>
    </w:p>
    <w:p>
      <w:r>
        <w:t>La Cour revoit la cause en fait et en droit avec un plein pouvoir d'examen (art. 310 CPC). La présente cause est soumise aux maximes d'office et inquisitoire illimitée en tant qu'elle concerne les enfants mineurs des époux (art. 296 al. 1 et al. 3 CPC), de sorte que la Cour n'est liée ni par les conclusions des parties sur ce point (art. 296 al. 3 CPC) ni par l'interdiction de la reformatio in pejus (ATF 129 III 417 consid. 2.1.1; arrêts du Tribunal fédéral 5A_841/2018 et 5A_843/2018 du 12 février 2020 consid. 5.2).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arrêt du Tribunal fédéral 5A_12/2013 du 8 mars 2013 consid. 2.2).</w:t>
      </w:r>
    </w:p>
    <w:p>
      <w:r>
        <w:t>- 11/21 -</w:t>
      </w:r>
    </w:p>
    <w:p>
      <w:r>
        <w:t>C/22469/2021</w:t>
      </w:r>
    </w:p>
    <w:p>
      <w:r>
        <w:rPr>
          <w:b/>
        </w:rPr>
        <w:t>E. 1.3</w:t>
      </w:r>
    </w:p>
    <w:p>
      <w:r>
        <w:t>Des mesures provisionnelles peuvent valablement être prononcées dans le cadre d'une procédure de mesures protectrices de l'union conjugale, notamment lorsque cette procédure risque de se prolonger (ACJC/474/2016 du 8 avril 2016 consid. 2.1; ACJC/1237/2015 du 16 octobre 2015 consid. 3.3.1; ACJC/395/2015 du 27 mars 2015 consid. 3.3.1; arrêt du Tribunal fédéral 5A_870/2013 du 28 octobre 2014 consid. 5). De telles mesures ne peuvent toutefois être ordonnées que pour autant que les conditions posées par l'art. 261 CPC soient réunies (ACJC/154/2014 du 7 février 2014 consid. 4). En l'espèce, l'opportunité du prononcé de mesures provisionnelles n'est, à juste titre, pas contestée par les parties, dans la mesure où la procédure sur mesures protectrices n'est, à ce jour, pas en état d'être jugée.</w:t>
      </w:r>
    </w:p>
    <w:p>
      <w:r>
        <w:rPr>
          <w:b/>
        </w:rPr>
        <w:t>E. 1.4</w:t>
      </w:r>
    </w:p>
    <w:p>
      <w:r>
        <w:t>Les parties ont produit de nouvelles pièces en appel.</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novas en appel même si les conditions de l'art. 317 al. 1 CPC ne sont pas réunies (ATF 144 III 349 consid. 4.2.1).</w:t>
      </w:r>
    </w:p>
    <w:p>
      <w:r>
        <w:rPr>
          <w:b/>
        </w:rPr>
        <w:t>E. 1.4.2</w:t>
      </w:r>
    </w:p>
    <w:p>
      <w:r>
        <w:t>En l'espèce, les pièces nouvelles produites en appel concernent la situation financière et personnelle de la famille, de sorte qu'elles sont recevables.</w:t>
      </w:r>
    </w:p>
    <w:p>
      <w:r>
        <w:rPr>
          <w:b/>
        </w:rPr>
        <w:t>E. 2</w:t>
      </w:r>
    </w:p>
    <w:p>
      <w:r>
        <w:t>L'intimé sollicite la production par son épouse du document récapitulatif établi par les SIG pour l'année 2021 relatif à la rétribution versée pour l'énergie produite, ainsi que des notes d'honoraires de ses conseils, au motif que le premier permettrait d'établir que les frais de SIG sont inférieurs à ceux allégués par l'appelante et que les seconds - qui sont déductibles des impôts - sont nécessaires à la détermination de la charge fiscale de cette dernière.</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w:t>
      </w:r>
    </w:p>
    <w:p>
      <w:r>
        <w:t>- 12/21 -</w:t>
      </w:r>
    </w:p>
    <w:p>
      <w:r>
        <w:t>C/22469/2021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2.2</w:t>
      </w:r>
    </w:p>
    <w:p>
      <w:r>
        <w:t>En l'espèce, les documents sollicités n'apparaissent pas nécessaires pour la solution du litige, la situation financière de la famille pouvant être déterminée avec un degré de vraisemblance suffisant au moyen des pièces du dossier. Cette solution s'impose également au regard du principe de célérité applicable à la présente procédure.</w:t>
      </w:r>
    </w:p>
    <w:p>
      <w:r>
        <w:t>Au vu de ce qui précède, la Cour s’estime, à ce stade de la procédure et compte tenu de la nature sommaire de celle-ci, suffisamment renseignée sur la situation financière de la famille. Il ne se justifie dès lors pas de donner une suite favorable à la demande de production de pièces formulée par l'intimé.</w:t>
      </w:r>
    </w:p>
    <w:p>
      <w:r>
        <w:rPr>
          <w:b/>
        </w:rPr>
        <w:t>E. 3</w:t>
      </w:r>
    </w:p>
    <w:p>
      <w:r>
        <w:t>Les parents remettent en cause les contributions à l'entretien des enfants fixées par le premier juge. Ils soutiennent que leurs situations financières ont été mal évaluées. L'intimé reproche en outre au Tribunal d'avoir mal appliqué la méthode du minimum vital avec répartition de l'excédent préconisée par le Tribunal fédéral en incluant dans le minimum vital du droit de la famille des postes devant être financés au moyen de l'excédent et d'avoir attribué aux enfants une part d'excédent bien supérieure à leurs besoins.</w:t>
      </w:r>
    </w:p>
    <w:p>
      <w:r>
        <w:rPr>
          <w:b/>
        </w:rPr>
        <w:t>E. 3.1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w:t>
      </w:r>
    </w:p>
    <w:p>
      <w:r>
        <w:t>- 13/21 -</w:t>
      </w:r>
    </w:p>
    <w:p>
      <w:r>
        <w:t>C/22469/2021 5A_173/2013 du 4 juillet 2013 consid. 4.2; 5A_236/2011 du 18 octobre 2011 consid. 4.2.3).</w:t>
      </w:r>
    </w:p>
    <w:p>
      <w:r>
        <w:rPr>
          <w:b/>
        </w:rPr>
        <w:t>E. 3.2</w:t>
      </w:r>
    </w:p>
    <w:p>
      <w:r>
        <w:t>En vertu de l'art. 176 al. 3 CC, relatif à l'organisation de la vie séparée, lorsque les époux ont des enfants mineurs, le juge ordonne les mesures nécessaires d'après les dispositions sur les effets de la filiation (cf. art. 273 ss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w:t>
      </w:r>
    </w:p>
    <w:p>
      <w:r>
        <w:rPr>
          <w:b/>
        </w:rPr>
        <w:t>E. 3.3</w:t>
      </w:r>
    </w:p>
    <w:p>
      <w:r>
        <w:t>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w:t>
      </w:r>
    </w:p>
    <w:p>
      <w:r>
        <w:t>- 14/21 -</w:t>
      </w:r>
    </w:p>
    <w:p>
      <w:r>
        <w:t>C/22469/2021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w:t>
      </w:r>
    </w:p>
    <w:p>
      <w:r>
        <w:t>Le minimum vital du débirentier doit en principe être préservé (ATF 137 III 59 consid. 4.2).</w:t>
      </w:r>
    </w:p>
    <w:p>
      <w:r>
        <w:rPr>
          <w:b/>
        </w:rPr>
        <w:t>E. 3.4</w:t>
      </w:r>
    </w:p>
    <w:p>
      <w:r>
        <w:t>Lors de la détermination des besoins – élargis – de l'enfant, il s'agit de prendre en compte le revenu et la fortune de l'enfant (hors produit de l'activité lucrative) imposable à l'un des parents (art. 3 al. 3 LHID et 285 al. 2 CC) par rapport au revenu total imposable de ce parent et la part de l'obligation fiscale totale de ce dernier qui en découle. Si, par exemple, le revenu attribuable à l'enfant représente 20% du revenu du foyer fiscal, la même proportion de la dette fiscale totale du parent contribuable doit être incluse dans les besoins de l'enfant et, par</w:t>
      </w:r>
    </w:p>
    <w:p>
      <w:r>
        <w:t>- 15/21 -</w:t>
      </w:r>
    </w:p>
    <w:p>
      <w:r>
        <w:t>C/22469/2021 conséquent, seule la différence doit être incluse dans les besoins dudit parent (ATF 147 III 457 consid. 4.2.3.5). A teneur de l'art. 21 al. 1 let. b LIFD, est imposable le rendement de la fortune immobilière, en particulier la valeur locative des immeubles ou de parties d'immeubles dont le contribuable se réserve l'usage en raison de son droit de propriété ou d'un droit de jouissance obtenu à titre gratuit. Ainsi, la cession de l'usage de la maison à l'époux séparé ou divorcé, sans inscription au registre foncier d'un droit d'usufruit ou d'habitation, constitue également un usage propre pour l'époux propriétaire cédant cet usage, ce dernier étant alors imposable sur la valeur locative. L'époux cédant l'usage de l'immeuble peut toutefois déduire le montant de la valeur locative dans sa déclaration fiscale, à titre de pension alimentaire au sens de l'art. 33 al. 1 let. c LIFD. En effet, le contribuable qui verse des contributions d'entretien à son époux séparé de fait ou de droit ou divorcé peut les déduire entièrement de son revenu, alors que l'époux qui les reçoit doit payer l'impôt sur ces contributions (art. 23 let. f LIFD), en vertu du principe de correspondance qui veut que toutes les contributions d'entretien qui sont imposables pour l'époux qui les reçoit sont déductibles pour l'époux qui les verse; ce régime fiscal est applicable à toutes les contributions d'entretien, qu'elles prennent la forme d'une rente en argent, ou une autre forme, comme le paiement du loyer ou des intérêts hypothécaires ou celles de prestations en nature (ATA/1089/2016 du 20 décembre 2016 consid. 20; Circulaire n° 30 du 21 décembre 2010 de l'Administration fédérale des contributions sur l'imposition des époux et de la famille selon la loi fédérale sur l'impôt fédéral direct ch. 14.1.2; MERLINO, CR-LIFD, 2017, n. 93 ad. art. 21 LIFD). L’art. 33 LIPP a la même teneur que l'art. 33 al. 1 let. c LIFD. Les mêmes principes sont par conséquent applicables à l’IFD et à l’ICC (ATA/95/2012 du 21 février 2012 consid. 4b; ATA/37/2011 du 25 janvier 2011 consid. 8).</w:t>
      </w:r>
    </w:p>
    <w:p>
      <w:r>
        <w:t>Le montant de la charge fiscale est une question de fait (arrêt du Tribunal fédéral 5A_57/2017 du 9 juin 2017 consid. 4.3.2). Les allocations familiales doivent par ailleurs être retranchées du coût de l'enfant (arrêt du Tribunal fédéral 5A_743/2017 du 22 mai 2019 consid. 5.2.3).</w:t>
      </w:r>
    </w:p>
    <w:p>
      <w:r>
        <w:rPr>
          <w:b/>
        </w:rPr>
        <w:t>E. 3.5</w:t>
      </w:r>
    </w:p>
    <w:p>
      <w:r>
        <w:t>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et les réf. cit.).</w:t>
      </w:r>
    </w:p>
    <w:p>
      <w:r>
        <w:t>- 16/21 -</w:t>
      </w:r>
    </w:p>
    <w:p>
      <w:r>
        <w:t>C/22469/2021 L'effet rétroactif ne se justifie que si l'entretien dû n'a pas été assumé en nature ou en espèces ou dès qu'il a cessé de l'être (arrêts du Tribunal fédéral 5A_372/2015 du 29 septembre 2015 consid. 3.1 et 5A_591/2011 du 7 décembre 2011 consid. 5.2).</w:t>
      </w:r>
    </w:p>
    <w:p>
      <w:r>
        <w:rPr>
          <w:b/>
        </w:rPr>
        <w:t>E. 3.6</w:t>
      </w:r>
    </w:p>
    <w:p>
      <w:r>
        <w:t>Des contributions doivent être déduits les montants dont l'intimé s'est d'ores et déjà acquitté à titre d'entretien (arrêt du Tribunal fédéral 5A_454/2017 du 17 mai 2018 consid. 5.3, non publié in ATF 144 III 377). Si le débiteur prétend avoir déjà versé des prestations d'entretien au crédirentier depuis la séparation des époux, il est nécessaire que le juge du fond statue sur les montants qui doivent être déduits de l'arriéré; il ne peut pas se contenter de réserver dans sa décision l'imputation des prestations déjà versées sans en chiffrer le montant (ATF 138 III 583 consid. 6.1.1; arrêt du Tribunal fédéral 5A_428/2012 du 20 septembre 2012 consid. 3.3). Seules peuvent être déduites les charges qui ont été prises en compte dans la détermination de la contribution, à l'exclusion des versements qui excèdent l'entretien défini dans ce cadre (art. 125 ch. 2 CO; arrêt du Tribunal fédéral 5A_810/2012 du 22 mars 2013 consid. 3.2).</w:t>
      </w:r>
    </w:p>
    <w:p>
      <w:r>
        <w:rPr>
          <w:b/>
        </w:rPr>
        <w:t>E. 3.7</w:t>
      </w:r>
    </w:p>
    <w:p>
      <w:r>
        <w:t>En l'espèce, il n'est pas contesté que la situation financière des parties peut être arrêtée en tenant compte de leurs minpima vitaux selon le droit de la famille au vu de leurs revenus.</w:t>
      </w:r>
    </w:p>
    <w:p>
      <w:r>
        <w:t>La fixation du dies a quo à la date du 15 novembre 2021 n'est pas non plus critiquée.</w:t>
      </w:r>
    </w:p>
    <w:p>
      <w:r>
        <w:rPr>
          <w:b/>
        </w:rPr>
        <w:t>E. 3.8</w:t>
      </w:r>
    </w:p>
    <w:p>
      <w:r>
        <w:t>Les minima vitaux selon le droit de la famille des enfants s'élèvent à : - 767 fr. 50 par mois pour C______, comprenant la participation au logement de la mère à hauteur de 15% (451 fr.), la prime d'assurance-maladie K______ (28 fr.), les frais médicaux non remboursés (96 fr.), les frais de téléphone portable (16 fr.), les frais de transports publics (37 fr. 50), les impôts (0 fr.) et le montant de base selon les normes OP (600 fr.), sous déduction des allocations familiales (461 fr.), hors frais pour des activités extrascolaires (49 fr. pour des cours de tennis et 162 fr. 50 pour des cours de piano) et frais scolaires (376 fr. d'écolage et 46 fr. 90 de frais de cantine), ceux-ci devant être couverts au moyen de l'excédent, et - 884 fr. 50 par mois pour D______, comprenant la participation au logement de la mère à hauteur de 15% (451 fr.), la prime d'assurance-maladie K______ (28 fr.), les frais médicaux non remboursés (213 fr.), les frais de téléphone portable (16 fr.), les frais de transports publics (37 fr. 50), les impôts (0 fr.) et le montant de base selon les normes OP (600 fr.), sous déduction des allocations familiales (461 fr.), hors frais pour des activités extrascolaires (7 fr. 50 fr. pour des cours de</w:t>
      </w:r>
    </w:p>
    <w:p>
      <w:r>
        <w:t>- 17/21 -</w:t>
      </w:r>
    </w:p>
    <w:p>
      <w:r>
        <w:t>C/22469/2021 gymnastique, 118 fr. 75 pour des cours d'art, 162 fr. 50 pour des cours de piano et 28 fr. pour des cours de tennis) et frais scolaires (371 fr. 35 fr. d'écolage et 40 fr. 65 de frais de cantine). Il ne sera pas tenu compte de frais de garde, dans la mesure où la mère n'a pas rendu vraisemblable la nécessité de cette charge au regard de l'âge des enfants, du fait qu'ils mangent à l'école à midi et de la disponibilité dont elle a allégué bénéficier pour s'occuper d'eux et dans la mesure, également, où elle n'a pas suffisamment étayé cette dépense (date d'engagement de la nouvelle employée inconnue et absence d'informations financières depuis juin 2021). S'agissant des impôts des enfants, les simulations de la charge fiscale de la mère avec et sans contributions à l'entretien des enfants (au moyen de la calculette disponible sur le site internet de l'Administration fiscale genevoise en tenant compte de 50% de la valeur locative à titre de revenu immobilier, de 50% de la valeur locative à titre de contribution d'entretien, de 50% de la valeur fiscale du domicile conjugal avant et après abattement et de 50% du prêt hypothécaire dont les époux sont vraisemblablement codébiteurs, sous déduction des primes d'assurance-maladie, des frais médicaux non remboursés et de l'intégralité des intérêts hypothécaires) aboutissent à des résultats équivalents, ce qui indique que l'ajout des contributions à l'entretien des enfants dans les revenus imposables de la mère n'induit aucune augmentation d'impôts, puisque l'appelante est essentiellement imposée sur sa fortune immobilière et que la charge fiscale des enfants est vraisemblablement nulle. Il sera relevé que la question de savoir si les frais d'avocat de l'appelante seraient déductibles de ses impôts peut rester ouverte, dès lors qu'elle n'est pas déterminante pour l'issue du litige au vu de ce qui précède.</w:t>
      </w:r>
    </w:p>
    <w:p>
      <w:r>
        <w:rPr>
          <w:b/>
        </w:rPr>
        <w:t>E. 3.9</w:t>
      </w:r>
    </w:p>
    <w:p>
      <w:r>
        <w:t>Compte tenu de la situation financière respective des parties et du fait que la mère assume la garde des enfants, il appartient au père de prendre en charge les minima vitaux selon le droit de la famille des enfants - ce que le père ne remet, sur le principe, pas en question -, correspondant à 767 fr. 50 par mois pour C______ et à 884 fr. 50 par mois pour D______.</w:t>
      </w:r>
    </w:p>
    <w:p>
      <w:r>
        <w:t>S'agissant de l'excédent de la famille à partager, point n'est besoin de déterminer précisément le solde disponible des parents. En effet, l'intimée allègue disposer d'un solde mensuel d'environ 6'275 fr. et l'intimée d'environ 4'480 fr., de sorte que la somme à partager se monterait, selon leurs allégations respectives, au minimum à 9'100 fr. (6'275 fr. + 4'480 fr. - 767 fr. 50 - 884 fr. 50). Chacun des enfants pourrait ainsi prétendre, théoriquement, à une part d'environ 1'500 fr. par mois. Toutefois, hormis les frais scolaires et les activités extrascolaires, les parties ne font pas état d'un train de vie dispendieux, de sorte qu'il sera ainsi retenu, au stade des mesures provisionnelles, qu'un partage purement mathématique de l'excédent</w:t>
      </w:r>
    </w:p>
    <w:p>
      <w:r>
        <w:t>- 18/21 -</w:t>
      </w:r>
    </w:p>
    <w:p>
      <w:r>
        <w:t>C/22469/2021 n'apparaît pas adéquat et qu'une part de 1'000 fr. à verser par le père en faveur de chacun des enfants apparaît suffisante. L'intimé sera, ainsi, condamné à verser, dès le 15 novembre 2021, une contribution mensuelle d'entretien arrondie à 1'800 fr. pour C______ (767 fr. 50 + 1'000 fr.) et à 1'900 fr. pour D______ (884 fr. 50 + 1'000 fr.).</w:t>
      </w:r>
    </w:p>
    <w:p>
      <w:r>
        <w:rPr>
          <w:b/>
        </w:rPr>
        <w:t>E. 3.10</w:t>
      </w:r>
    </w:p>
    <w:p>
      <w:r>
        <w:t>De ces contributions doivent être déduits les montants dont l'intimé s'est d'ores et déjà acquitté à titre d'entretien depuis le 15 novembre 2021.</w:t>
      </w:r>
    </w:p>
    <w:p>
      <w:r>
        <w:t>L'intimé a versé, entre le 30 décembre 2021 et le 1er mars 2022, un montant global de 8'065 fr. 28 sur le compte bancaire "Q______" dédié à l'entretien des enfants. Faute de renseignements sur la répartition de ce montant en faveur de chacun d'eux, ladite somme sera, par équité, partagée par moitié entre eux (4'032 fr. 64).</w:t>
      </w:r>
    </w:p>
    <w:p>
      <w:r>
        <w:t>Il sera également tenu compte d'un montant de 3'150 fr. à titre de contribution d'entretien versée pour chacun des enfants entre mars et mai 2022 (1'050 fr. x 3 mois), ainsi que de l'écolage mensualisé de C______ pour l'année scolaire 2021- 2022 payé directement par le père en février 2022 correspondant à un montant de 14'604 fr. 27 entre le 15 novembre 2021 et le 31 août 2022 ([18'447 fr. 50 /12 mois] x 9,5 mois), le solde concernant une charge due pour une période antérieure à celle visée par les présentes mesures provisionnelles.</w:t>
      </w:r>
    </w:p>
    <w:p>
      <w:r>
        <w:t>Seront ainsi déduites, pour la période allant du 15 novembre 2021 au 31 août 2022, les sommes totales de 21'786 fr. 91 pour C______ (4'032 fr. 64 + 3'150 fr. + 14'604 fr. 27) et de 7'182 fr. 64 pour D______ (4'032 fr. 64 + 3'150 fr.).</w:t>
      </w:r>
    </w:p>
    <w:p>
      <w:r>
        <w:rPr>
          <w:b/>
        </w:rPr>
        <w:t>E. 3.11</w:t>
      </w:r>
    </w:p>
    <w:p>
      <w:r>
        <w:t>Par conséquent, le chiffre 1 du dispositif de l'ordonnance entreprise sera annulé et l'intimé condamné dans le sens qui précède.</w:t>
      </w:r>
    </w:p>
    <w:p>
      <w:r>
        <w:rPr>
          <w:b/>
        </w:rPr>
        <w:t>E. 4</w:t>
      </w:r>
    </w:p>
    <w:p>
      <w:r>
        <w:t>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r>
        <w:rPr>
          <w:b/>
        </w:rPr>
        <w:t>E. 4.1</w:t>
      </w:r>
    </w:p>
    <w:p>
      <w:r>
        <w:t>Si l'instance d'appel statue à nouveau, elle se prononce sur les frais de la première instance (art. 318 al. 3 CPC).</w:t>
      </w:r>
    </w:p>
    <w:p>
      <w:r>
        <w:t>Dès lors que ni la quotité ni la répartition des frais judiciaires et des dépens de première instance n'ont été remises en cause en appel et que ceux-ci ont été arrêtés conformément aux règles légales par le Tribunal (art. 95, 96, 104 al. 1, 107 al. 1 let. c CPC; art. 31 RTFMC), le jugement entrepris sera confirmé sur ce point.</w:t>
      </w:r>
    </w:p>
    <w:p>
      <w:r>
        <w:rPr>
          <w:b/>
        </w:rPr>
        <w:t>E. 4.2</w:t>
      </w:r>
    </w:p>
    <w:p>
      <w:r>
        <w:t>Les frais judiciaires de la procédure d'appel seront fixés à 1'800 fr., comprenant les frais relatifs à l'arrêt rendu le 7 juin 2022 (art. 31 et 37 RTFMC), couverts par les avances de frais de 800 fr. opérée par l'appelante et de 1'000 fr.</w:t>
      </w:r>
    </w:p>
    <w:p>
      <w:r>
        <w:t>- 19/21 -</w:t>
      </w:r>
    </w:p>
    <w:p>
      <w:r>
        <w:t>C/22469/2021 opérée par l'intimé, lesquelles demeurent entièrement acquises à l'Etat de Genève (art. 111 al. 1 CPC).</w:t>
      </w:r>
    </w:p>
    <w:p>
      <w:r>
        <w:t>Pour des motifs d'équité liés à la nature du litige, ils seront répartis à parts égales entre les parents, à savoir à hauteur de 900 fr. pour l'appelante et de 900 fr. pour l'intimé (art. 95, 104 al. 1, 105, 106 al. 1 et 107 al. 1 let. c CPC).</w:t>
      </w:r>
    </w:p>
    <w:p>
      <w:r>
        <w:t>L'appelante sera, par conséquent, condamnée à verser la somme de 100 fr. à l'intimé. Pour les mêmes motifs, chaque partie supportera ses propres dépens d'appel (art. 107 al. 1 let. c CPC). * * * * *</w:t>
      </w:r>
    </w:p>
    <w:p>
      <w:r>
        <w:t>- 20/21 -</w:t>
      </w:r>
    </w:p>
    <w:p>
      <w:r>
        <w:t>C/22469/2021 PAR CES MOTIFS, La Chambre civile : A la forme : Déclare recevables les appels interjetés le 5 mai 2022 par A______ contre le chiffre 1, respectivement le 9 mai 2022 par B______ contre les chiffres 1 et 4 du dispositif de l'ordonnance OTPI/228/2022 rendue le 12 avril 2022 par le Tribunal de première instance dans la cause C/22469/2021-21. Au fond : Annule le chiffre 1 du dispositif de l'ordonnance entreprise et, statuant à nouveau sur ce point : Condamne B______ à verser en mains de A______, par mois et d'avance, allocations familiales ou d'études non comprises, une contribution à l'entretien de C______ de 1'800 fr. dès le 15 novembre 2021, sous déduction des montants d'ores et déjà versés à ce titre, soit un montant global de 21'786 fr. 91 entre le 15 novembre 2021 et le 31 août 2022. Condamne B______ à verser en mains de A______, par mois et d'avance, allocations familiales ou d'études non comprises, une contribution à l'entretien de D______ de 1'900 fr. dès le 15 novembre 2021, sous déduction des montants d'ores et déjà versés à ce titre, soit un montant global de 7'182 fr. 64 entre le 15 novembre 2021 et le 31 août 2022. Confirme l'ordonnance entreprise pour le surplus. Déboute les parties de toutes autres conclusions. Sur les frais : Arrête les frais judiciaires des appels à 1'800 fr., les met à la charge des parties par moitié chacune et les compense avec les avances fournies, lesquelles demeurent entièrement acquises à l'Etat de Genève. Condamne A______ à verser à B______ 100 fr. à titre de remboursement des frais judiciaires des appels.</w:t>
      </w:r>
    </w:p>
    <w:p>
      <w:r>
        <w:t>- 21/21 -</w:t>
      </w:r>
    </w:p>
    <w:p>
      <w:r>
        <w:t>C/22469/2021 Dit que chaque partie supporte ses propres dépens des appels. Siégeant : Madame Sylvie DROIN, présidente; Monsieur Ivo BUETTI, Madame Jocelyne DEVILLE-CHAVANNE, juges; Madame Camille LESTEVEN, greffière.</w:t>
      </w:r>
    </w:p>
    <w:p>
      <w:r>
        <w:t>La présidente : Sylvie DROIN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