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ACJC/1413/2021 vom 1. November 2021</w:t>
      </w:r>
    </w:p>
    <w:p>
      <w:r>
        <w:t>GE Cour de justice, 2021-11-01, FR</w:t>
      </w:r>
    </w:p>
    <w:p>
      <w:r>
        <w:rPr>
          <w:b/>
        </w:rPr>
        <w:t xml:space="preserve">Quelle: </w:t>
      </w:r>
      <w:r>
        <w:t>https://mcp.opencaselaw.ch/entscheid/ge_gerichte_ACJC_1413_2021</w:t>
      </w:r>
    </w:p>
    <w:p>
      <w:r>
        <w:t>FR: GE_GERICHTE ACJC/1413/2021 du 1 novembre 2021</w:t>
      </w:r>
    </w:p>
    <w:p>
      <w:r>
        <w:t>IT: GE_GERICHTE ACJC/1413/2021 del 1 novembre 2021</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La voie du recours est ouverte contre les décisions du tribunal de l'exécution (art. 309 let. a et 319 let. a CPC). En l'espèce, dirigé contre un jugement rendu par le Tribunal de l'exécution, seule la voie du recours est ouverte.</w:t>
      </w:r>
    </w:p>
    <w:p>
      <w:r>
        <w:rPr>
          <w:b/>
        </w:rPr>
        <w:t>E. 1.3</w:t>
      </w:r>
    </w:p>
    <w:p>
      <w:r>
        <w:t>Interjeté selon la forme et dans le délai prescrits, le recours est recevable (art. 321 al. 1 et 2 CPC).</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2</w:t>
      </w:r>
    </w:p>
    <w:p>
      <w:r>
        <w:t>juin 2021consid. 4.2; 4A_148/2020 du 20 mai 2020 consid. 3.2; 4A_590/2019 du 6 janvier 2020 consid. 6; 4A_566/2019 du 30 avril 2020 consid. 9; 4A_590/2019 du 6 janvier 2020 consid. 6; 4A_630/2018 du 17 juin 2019 consid. 7.1; 4A_141/2016 du 26 mai 2016 consid. 1.2). Le recourant qui se contente de dénoncer une violation de son droit d'être entendu sans contester le fond de la décision n'a pas d'intérêt à procéder, de sorte que son recours est irrecevable (arrêts du Tribunal fédéral 2P.20/2005 du 13 avril 2005 consid. 3.2, in RF 2005 970; 4A_153/2009 du 1er mai 2009 consid. 4.1; 4A_554/2012 du 21 mars 2013 consid. 4.1.2).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(art. 30 al. 2 LaCC).</w:t>
      </w:r>
    </w:p>
    <w:p>
      <w:r>
        <w:rPr>
          <w:b/>
        </w:rPr>
        <w:t>E. 2.1</w:t>
      </w:r>
    </w:p>
    <w:p>
      <w:r>
        <w:t>Il résulte des art. 53 CPC et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Le droit de s'exprimer, compris comme une composante du droit d'être entendu, que prévoit l'art. 6 § 1 CEDH, ne fonde ni le droit abstrait de s'exprimer personnellement, ni celui de s'exprimer oralement. Toutefois, le droit d'être entendu personnellement et/ou par oral peut résulter, dans des circonstances particulières, d'un autre droit prévu par la Convention. Le devoir du tribunal d'entendre les parties personnellement et par oral est déduit du droit à une procédure équitable, lorsque dans le cas concret, il est décisif que le tribunal se forge une impression personnelle sur les parties. Dès lors que le droit d'être entendu personnellement n'existe que sous des conditions déterminées, la partie</w:t>
      </w:r>
    </w:p>
    <w:p>
      <w:r>
        <w:t>- 5/9 -</w:t>
      </w:r>
    </w:p>
    <w:p>
      <w:r>
        <w:t>C/10926/2021 qui s'en prévaut doit exposer dans quelle mesure ces conditions sont réunies (arrêt du Tribunal fédéral 5A_724/2015 du 2 juin 2016 consid. 3). Selon la jurisprudence, le droit d'être entendu est certes une garantie constitutionnelle (art. 29 al. 2 Cst.)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4D_76/2020 du</w:t>
      </w:r>
    </w:p>
    <w:p>
      <w:r>
        <w:rPr>
          <w:b/>
        </w:rPr>
        <w:t>E. 2.2</w:t>
      </w:r>
    </w:p>
    <w:p>
      <w:r>
        <w:t>Dans le présent cas, le Tribunal a cité les parties à comparaître personnellement, le 14 juin 2021 pour le 13 juillet 2021. A l'audience du Tribunal, la recourante a produit un certificat médical, justifiant de son incapacité à se</w:t>
      </w:r>
    </w:p>
    <w:p>
      <w:r>
        <w:t>- 6/9 -</w:t>
      </w:r>
    </w:p>
    <w:p>
      <w:r>
        <w:t>C/10926/2021 rendre à celle-ci. La recourante a toutefois été représentée par son conseil, lequel a versé à la procédure plusieurs pièces. Celui-ci a également fourni des informations concernant sa situation personnelle et financière, ainsi que s'agissant de ses recherches de solution de relogement.</w:t>
      </w:r>
    </w:p>
    <w:p>
      <w:r>
        <w:t>Avec les premiers juges et les intimées, la Cour retient que la recourante a disposé d'un mois pour requérir les titres dont elle entendait se prévaloir et les verser à la procédure.</w:t>
      </w:r>
    </w:p>
    <w:p>
      <w:r>
        <w:t>Par ailleurs, et comme l'a retenu à bon droit le Tribunal, la fixation d'une nouvelle audience doit respecter le principe de célérité, ancré à l'art. 254 CPC. Or, compte tenu du rôle de celui-ci, une nouvelle audience n'aurait pas pu être convoquée avant plusieurs semaines.</w:t>
      </w:r>
    </w:p>
    <w:p>
      <w:r>
        <w:t>Compte tenu des éléments qui précèdent, la Cour ne discerne aucune violation du droit d'être entendu de la recourante.</w:t>
      </w:r>
    </w:p>
    <w:p>
      <w:r>
        <w:rPr>
          <w:b/>
        </w:rPr>
        <w:t>E. 3</w:t>
      </w:r>
    </w:p>
    <w:p>
      <w:r>
        <w:t>La recourante reproche au Tribunal de lui avoir accordé un sursis humanitaire de trop courte durée.</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w:t>
      </w:r>
    </w:p>
    <w:p>
      <w:r>
        <w:t>- 7/9 -</w:t>
      </w:r>
    </w:p>
    <w:p>
      <w:r>
        <w:t>C/10926/2021 motifs d'octroi d'un sursis (ACJC/269/2019 du 25 février 2019 consid. 3.1; ACJC/247/2017 du 6 mars 2017 consid. 2.1; ACJC/422/2014 du 7 avril 2014 consid. 4.2; arrêt du Tribunal fédéral du 20 septembre 1990, in Droit du bail 3/1991 p. 30 et les références citées). 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 En revanche,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municipale de la Ville de Genève et des Fondations immobilières de droit public plus d'un an avant la résiliation du bail (ACJC/224/2015 du 2 mars 2015 consid. 3.2). La Cour a pour le surplus confirmé l'exécution de l'évacuation deux mois et demi après l'entrée en force du jugement d'évacuation, s'agissant d'une famille, avec deux enfants, dont un mineur, dont l'arriéré de loyer s'élevait à 16'910 fr. 70 (ACJC/687/2020 du 25 mai 2020 consid. 4.2).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3.2</w:t>
      </w:r>
    </w:p>
    <w:p>
      <w:r>
        <w:t>In casu, le Tribunal a accordé à la recourante un sursis de 50 jours. La situation financière de la recourante est précaire, dès lors qu'elle bénéficie d'une rente de l'assurance invalidité. Elle vit par ailleurs avec ses deux enfants, encore mineurs. Elle a de plus produit des recherches de solution de relogement. Cela étant, le contrat de bail de la recourante a été résilié en avril 2019 pour le 31 mai 2019 et elle a bénéficié d'une prolongation de bail de deux ans. Elle ne peut obtenir, par un sursis humanitaire de douze mois, une nouvelle prolongation de bail, à laquelle elle ne peut prétendre.</w:t>
      </w:r>
    </w:p>
    <w:p>
      <w:r>
        <w:t>- 8/9 -</w:t>
      </w:r>
    </w:p>
    <w:p>
      <w:r>
        <w:t>C/10926/2021 Par conséquent, le sursis de cinquante jours accordé à la recourante constitue un délai équitable au sens des principes sus-rappelés et est conforme au principe de proportionnalité.</w:t>
      </w:r>
    </w:p>
    <w:p>
      <w:r>
        <w:rPr>
          <w:b/>
        </w:rPr>
        <w:t>E. 3.3</w:t>
      </w:r>
    </w:p>
    <w:p>
      <w:r>
        <w:t>Infondé,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C/10926/2021 PAR CES MOTIFS, La Chambre des baux et loyers : A la forme : Déclare recevable le recours interjeté le 9 août 2021 par A______ contre le jugement JTBL/640/2021 rendu le 13 juillet 2021 par le Tribunal des baux et loyers dans la cause C/10926/2021-7-SD. Au fond : Le rejette.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