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ACJC/1412/2020 vom 29. Oktober 2020</w:t>
      </w:r>
    </w:p>
    <w:p>
      <w:r>
        <w:t>GE Cour de justice, 2020-10-29, FR</w:t>
      </w:r>
    </w:p>
    <w:p>
      <w:r>
        <w:rPr>
          <w:b/>
        </w:rPr>
        <w:t xml:space="preserve">Quelle: </w:t>
      </w:r>
      <w:r>
        <w:t>https://mcp.opencaselaw.ch/entscheid/ge_gerichte_ACJC_1412_2020</w:t>
      </w:r>
    </w:p>
    <w:p>
      <w:r>
        <w:t>FR: GE_GERICHTE ACJC/1412/2020 du 29 octobre 2020</w:t>
      </w:r>
    </w:p>
    <w:p>
      <w:r>
        <w:t>IT: GE_GERICHTE ACJC/1412/2020 del 29 ottobre 2020</w:t>
      </w:r>
    </w:p>
    <w:p>
      <w:pPr>
        <w:pStyle w:val="Heading2"/>
      </w:pPr>
      <w:r>
        <w:t>Erwägungen</w:t>
      </w:r>
    </w:p>
    <w:p>
      <w:r>
        <w:rPr>
          <w:b/>
        </w:rPr>
        <w:t>E. 1.1</w:t>
      </w:r>
    </w:p>
    <w:p>
      <w:r>
        <w:t>Interjeté dans le délai utile et suivant la forme prescrite par la loi (art. 130, 131 et 142 al. 1 et 3 CPC; art. 311 al. 1 CPC), à l'encontre d'une décision finale de première instance qui statue sur des conclusions pécuniaires dont la valeur litigieuse au dernier état des conclusions était supérieure à 10'000 fr. (art. 91 ss et 308 al. 2 CPC), l'appel est recevable.</w:t>
      </w:r>
    </w:p>
    <w:p>
      <w:r>
        <w:rPr>
          <w:b/>
        </w:rPr>
        <w:t>E. 1.2</w:t>
      </w:r>
    </w:p>
    <w:p>
      <w:r>
        <w:t>La Cour revoit la cause avec un plein pouvoir d'examen (art. 310 CPC). Elle applique la maxime des débats et le principe de disposition (art. 55 al. 1 et art. 58 al. 1 CPC).</w:t>
      </w:r>
    </w:p>
    <w:p>
      <w:r>
        <w:rPr>
          <w:b/>
        </w:rPr>
        <w:t>E. 2</w:t>
      </w:r>
    </w:p>
    <w:p>
      <w:r>
        <w:t>Les parties produisent devant la Cour plusieurs pièces non soumises au Tribunal.</w:t>
      </w:r>
    </w:p>
    <w:p>
      <w:r>
        <w:rPr>
          <w:b/>
        </w:rPr>
        <w:t>E. 2.1</w:t>
      </w:r>
    </w:p>
    <w:p>
      <w:r>
        <w:t>Selon l'art. 317 al. 1 CPC, les faits et moyens de preuve ne sont pris en compte qu'aux conditions suivantes : ils sont invoqués ou produits sans retard (lit. a) et ils ne pouvaient être invoqués ou produits devant la première instance bien que la partie qui s'en prévaut ait fait preuve de la diligence requise (lit. b). Il appartient au plaideur qui entend se prévaloir en appel de faits ou de moyens de preuve déjà existants lors de la fin des débats principaux de première instance de démontrer qu'il a fait preuve de la diligence requise, ce qui implique notamment d'exposer précisément les raisons pour lesquelles le fait ou le moyen de preuve n'a pas pu être invoqué devant l'autorité précédente (ATF 144 III 349 consid. 4.2.1). La Cour examine d'office la recevabilité des faits et moyens de preuve nouveaux produits en appel (REETZ/HILBER, Kommentar zur Schweizerischen Zivilprozess- ordnung, 3ème éd. 2017, n. 26 ad art. 317 CPC).</w:t>
      </w:r>
    </w:p>
    <w:p>
      <w:r>
        <w:rPr>
          <w:b/>
        </w:rPr>
        <w:t>E. 2.2</w:t>
      </w:r>
    </w:p>
    <w:p>
      <w:r>
        <w:t>En l'espèce, la première pièce nouvelle produite par l'appelant devant la Cour est une photographie datée à la main du 13 février 2020, soit après que le Tribunal a gardé la cause à juger. En l'absence d'autre indication quant à la date de prise de vue effective de cette photographie, cette pièce est recevable, ce qui n'est pas contesté. La seconde pièce produite par l'appelant est un extrait du registre du commerce daté du 25 février 2020. L'extrait en question concerne cependant une société qui est radiée depuis le mois de ______ 2001. Or, l'appelant n'expose pas pour quelle raison il n'aurait pas été en mesure de soumettre l'extrait en question au premier juge. La question de la recevabilité de cette pièce peut cependant demeurer ouverte, dès lors que les informations bénéficiant d'une empreinte officielle, telles que les inscriptions au registre du commerce, peuvent être considérées comme</w:t>
      </w:r>
    </w:p>
    <w:p>
      <w:r>
        <w:t>- 10/16 -</w:t>
      </w:r>
    </w:p>
    <w:p>
      <w:r>
        <w:t>C/14338/2015 notoires, au sens de l'art. 151 CPC (cf. ATF 143 IV 380 consid. 1.1.1 et 1.2). Il sera donc tenu compte du contenu de cette pièce dans cette mesure. La pièce nouvelle produite par l'intimé est une photographie datant selon lui de 2013. L'intimé n'indique pas qu'il n'aurait pas été à même de produire cette photographie devant le premier juge. Partant, celle-ci est aujourd'hui irrecevable.</w:t>
      </w:r>
    </w:p>
    <w:p>
      <w:r>
        <w:rPr>
          <w:b/>
        </w:rPr>
        <w:t>E. 3</w:t>
      </w:r>
    </w:p>
    <w:p>
      <w:r>
        <w:t>Sur le fond, l'appelant reproche au Tribunal de l'avoir débouté de ses prétentions en garantie des défauts. Il se plaint notamment d'une constatation inexacte des faits pertinents à ce sujet.</w:t>
      </w:r>
    </w:p>
    <w:p>
      <w:r>
        <w:rPr>
          <w:b/>
        </w:rPr>
        <w:t>E. 3.1</w:t>
      </w:r>
    </w:p>
    <w:p>
      <w:r>
        <w:t>La garantie pour les défauts de la chose mobilière vendue est traitée aux art. 197ss CO, dispositions qui s'appliquent par analogie à la vente immobilière (art. 221 CO).</w:t>
      </w:r>
    </w:p>
    <w:p>
      <w:r>
        <w:rPr>
          <w:b/>
        </w:rPr>
        <w:t>E. 3.1.1</w:t>
      </w:r>
    </w:p>
    <w:p>
      <w:r>
        <w:t>Selon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Il y a défaut au sens de cette disposition lorsque la chose livrée s'écarte de ce qu'elle devrait être en vertu du contrat de vente, parce qu'elle est dépourvue d'une qualité dont le vendeur avait promis l'existence ou d'une qualité à laquelle l'acheteur pouvait s'attendre selon les règles de la bonne foi (ATF 114 II 239 consid. 5a/aa). Le niveau d'exigence quant à la qualité attendue dépend du contenu du contrat, des règles de la bonne foi et des autres circonstances du cas concret L'admission d'un défaut ne dépend pas en soi du prix; il peut y avoir défaut même si le prix convenu est inférieur à la valeur objective de la chose. Toutefois, le juge peut tenir compte du prix pour déterminer quelles sont les qualités attendues de la chose vendue (ATF 114 II 239 consid. 5a/aa; 102 II 97 consid. 2a, arrêt du Tribunal fédéral 4A_619/2013 du 20 mai 2014 consid. 4.1 et les références citées).</w:t>
      </w:r>
    </w:p>
    <w:p>
      <w:r>
        <w:rPr>
          <w:b/>
        </w:rPr>
        <w:t>E. 3.1.2</w:t>
      </w:r>
    </w:p>
    <w:p>
      <w:r>
        <w:t>Les parties peuvent convenir de supprimer ou restreindre la garantie du vendeur. Toutefois, l'art. 199 CO énonce qu'une telle clause est nulle si le vendeur a frauduleusement dissimulé à l'acheteur les défauts de la chose. La "dissimulation frauduleuse" au sens de cette disposition couvre des comportements de dol, soit de tromperie intentionnelle. Elle est notamment réalisée lorsque le vendeur omet d'aviser son cocontractant d'un défaut alors qu'il a une obligation de renseigner, laquelle peut découler des règles de la bonne foi. Savoir s'il existe un devoir d'informer dépend des circonstances du cas concret. Le vendeur est tenu de détromper l'acheteur lorsqu'il sait - ou devrait savoir - que</w:t>
      </w:r>
    </w:p>
    <w:p>
      <w:r>
        <w:t>- 11/16 -</w:t>
      </w:r>
    </w:p>
    <w:p>
      <w:r>
        <w:t>C/14338/2015 celui-ci est dans l'erreur sur les qualités de l'objet ou lorsqu'il s'agit d'un défaut (notamment caché) auquel l'acheteur ne peut de bonne foi pas s'attendre, et qui revêt de l'importance pour celui-ci (ATF 132 II 161 consid. 4.1; 131 III 145 consid. 8.1; 81 II 138 consid. 3; 66 II 132 consid. 6; arrêts du Tribunal fédéral 4A_619/2013 cité consid. 4.1 et les références; 4A_301/2010 du 7 septembre 2010 consid. 3.2). Le vendeur doit avoir une connaissance effective du défaut; l'ignorance due à une négligence même grave ne suffit pas. La connaissance ne doit pas nécessairement être complète ni porter sur tous les détails ; il suffit que le vendeur soit suffisamment orienté sur la cause à l'origine du défaut pour que le principe de la bonne foi l'oblige à en informer l'acheteur. La dissimulation doit être intentionnelle; le dol éventuel suffit (arrêts du Tribunal fédéral 4A_622/2012 du 18 janvier 2013 consid. 3.2; 4A_226/2009 du 20 août 2009 consid. 3.2.3). Le fardeau de la preuve de la tromperie incombe à l'acheteur (ATF 131 III 145 consid. 8.1).</w:t>
      </w:r>
    </w:p>
    <w:p>
      <w:r>
        <w:rPr>
          <w:b/>
        </w:rPr>
        <w:t>E. 3.1.3</w:t>
      </w:r>
    </w:p>
    <w:p>
      <w:r>
        <w:t>L'art. 200 CO précise encore que le vendeur ne répond pas des défauts que l'acheteur connaissait au moment de la vente (al. 1). Il ne répond pas non plus des défauts dont l'acheteur aurait dû s'apercevoir lui-même en examinant la chose avec une attention suffisante, sauf s'il lui a affirmé qu'ils n'existaient pas (al. 2). Il est généralement admis que le vendeur est dispensé d'informer l'acheteur lorsqu'il peut de bonne foi partir du principe que l'acheteur va s'informer lui- même, qu'il va découvrir le défaut sans autre, sans difficultés ("ohne weiteres"); tel est en principe le cas lorsque l'acheteur devrait le découvrir en faisant preuve de l'attention commandée par les circonstances (arrêt du Tribunal fédéral 4A_619/2013 cité consid. 4.1 et les références). S'agissant du rapport entre les art. 199 et 200 al. 2 CO, la doctrine dominante considère que le vendeur agissant de manière dolosive ne peut pas se prévaloir de la négligence de l'acheteur. Est donc décisive la question de savoir si le vendeur, dans les circonstances concrètes, est autorisé à supposer que l'acheteur découvrira le défaut. La tromperie intentionnelle est déjà réalisée lorsque le vendeur qui connaît le défaut envisage et accepte la possibilité que l'acheteur ne le découvre pas (ibid.).</w:t>
      </w:r>
    </w:p>
    <w:p>
      <w:r>
        <w:rPr>
          <w:b/>
        </w:rPr>
        <w:t>E. 3.2</w:t>
      </w:r>
    </w:p>
    <w:p>
      <w:r>
        <w:t>En l'espèce, il n'est pas contesté que le contrat de vente conclu par les parties le 27 mars 2014 contenait une clause d'exclusion de garantie, aux termes de laquelle l'appelant a déclaré renoncer à toute prétention découlant d'éventuels défauts de la villa vendue dans les limites autorisées par la loi. Conformément aux dispositions et principes rappelés ci-dessus, l'appelant ne peut être dès lors admis à se prévaloir d'éventuels défauts qu'à condition que l'intimé lui ait frauduleusement dissimulé l'existence de tels défauts. Ceci suppose soit, pour les défauts que l'appelant ne pouvait pas déceler lors de la vente, que l'intimé ait</w:t>
      </w:r>
    </w:p>
    <w:p>
      <w:r>
        <w:t>- 12/16 -</w:t>
      </w:r>
    </w:p>
    <w:p>
      <w:r>
        <w:t>C/14338/2015 fautivement omis de mentionner leur existence, soit, pour les défauts que l'appelant pouvait découvrir en prêtant l'attention nécessaire, que l'intimé lui ait affirmé qu'ils n'existaient pas. Il convient d'examiner ces questions en relation avec chacun des deux éléments de la villa litigieuse dont le caractère défectueux est encore débattu devant la Cour, soit la toiture de ladite villa et la piscine.</w:t>
      </w:r>
    </w:p>
    <w:p>
      <w:r>
        <w:rPr>
          <w:b/>
        </w:rPr>
        <w:t>E. 3.2.1</w:t>
      </w:r>
    </w:p>
    <w:p>
      <w:r>
        <w:t>S'agissant de la toiture, il est établi que celle-ci a présenté des fuites durant l'hiver 2014/2015, soit moins d'une année après la vente de la villa litigieuse à l'appelant. Il est également établi que ladite toiture a fait l'objet de travaux de rénovation de la part de l'intimé en 2013, travaux qui par certains aspects n'étaient pas conformes aux règles de l'art et étaient à l'origine des infiltrations ainsi constatées. L'expertise ordonnée par le Tribunal a permis de vérifier que ces défauts n'étaient pas décelables par un non-spécialiste au moment de la vente. Il convient dès lors d'examiner si l'intimé en a frauduleusement dissimulé l'existence à l'appelant. Comme l'a relevé le Tribunal, il n'est en l'espèce pas établi que la toiture litigieuse aurait donné lieu à des fuites ou des infiltrations d'eau à l'intérieur de la villa alors que celle-ci était encore occupée par l'intimé. Rien ne permet par ailleurs d'affirmer que l'intimé aurait eu conscience du caractère non conforme et/ou non durable des travaux qu'il avait réalisés sur la toiture, ni qu'il ait à dessein réalisé des travaux défectueux alors qu'il occupait ladite villa avec des membres de sa famille. A teneur de la procédure, l'intimé n'était pas un professionnel de la construction au moment de ces travaux et rien n'indique qu'il se soit ensuite présenté comme tel à l'appelant. Devant le Tribunal, il a seulement déclaré qu'il possédait de bonnes connaissances en bricolage et le seul fait notoire - mais dont l'appelant ne soutient pas avoir eu effectivement connaissance au moment de la vente - que l'intimé ait auparavant exploité une entreprise générale de travaux, radiée depuis une douzaine d'années lors de la réfection de la toiture, ne permet pas de retenir qu'il disposait alors de compétences étendues en matière de charpente ou de couverture, ni que l'appelant pouvait s'attendre à ce que tel soit le cas. La bonne foi en affaires imposait seulement à l'intimé de révéler à l'appelant que des travaux avaient été réalisés récemment sur la toiture et que ceux-ci n'étaient pas l'ouvrage de professionnels, ce qu'il a précisément fait en indiquant à l'appelant qu'il avait effectué lui-même lesdits travaux. Ce faisant, et en conjonction avec la clause d'exclusion de garantie convenue contractuellement, l'intimé a clairement signifié à l'appelant qu'il n'entendait pas assumer de responsabilité au cas où l'éventuelle non-conformité aux règles de l'art de ses travaux devait entraîner des défectuosités telles qu'un défaut d'étanchéité. L'intimé, qui est avocat de profession, ne pouvait de bonne foi comprendre autrement les propos de l'intimé et aucune tromperie intentionnelle ne peut être retenue à ce propos.</w:t>
      </w:r>
    </w:p>
    <w:p>
      <w:r>
        <w:t>- 13/16 -</w:t>
      </w:r>
    </w:p>
    <w:p>
      <w:r>
        <w:t>C/14338/2015 Contrairement à ce que soutient aujourd'hui l'appelant, il importe notamment peu que lesdits travaux aient en réalité pu être exécutés par des ouvriers ayant travaillé sous la direction de l'intimé, dès lors qu'il n'est pas établi que l'appelant aurait eu connaissance de ce fait au moment de la vente. Ce dernier ne pouvait dès lors pas en inférer de garanties particulières. A contrario, on ne voit pas en quoi des travaux effectués sous la direction de l'intimé par des ouvriers, fussent-ils de nationalité étrangère, auraient nécessairement été de moindre qualité que s'ils avaient été effectués par l'intimé lui-même, ce que l'appelant ne soutient d'ailleurs pas. L'intimé n'était dès lors pas tenu d'informer l'appelant de son éventuel recours à une telle main d'œuvre et il n'y a pas eu davantage tromperie sur ce point. Il est également indifférent qu'au cours de son témoignage, la courtière mandatée par l'intimé ait déclaré que de son point de vue, la toiture refaite par ce dernier était "neuve" et qu'elle ne nécessitait pas de travaux de rénovation, contrairement à d'autres éléments de la villa; outre que cette personne confond manifestement les termes "neuve" et "rénovée", elle n'a pas rapporté qu'elle-même ou l'intimé auraient effectivement tenu de tels propos à l'appelant. Répondant à une question du conseil de l'appelant, elle exprimait alors seulement sa propre connaissance de l'état de la toiture; pour le reste, elle a confirmé avoir indiqué à l'appelant que les travaux de réfection de la toiture avaient été réalisés par l'intimé lui-même, plutôt que par une entreprise. Aucune tromperie ne peut ainsi être déduite des déclarations de ce témoin, étant rappelé que conformément au raisonnement exposé ci-dessus, l'intimé pouvait de bonne foi considérer que la toiture ne présentait pas de défaut particulier, pour autant qu'il indique à l'appelant que les récents travaux de rénovation de celle-ci n'avaient pas été exécutés par des professionnels, ce qu'il a fait en l'espèce. C'est dès lors à bon droit que le Tribunal a retenu que les défauts de la toiture dénoncés par l'appelant tombaient sous le coup de l'exclusion de garantie convenue contractuellement. A supposer que tel ne soit pas le cas, et qu'il faille admettre que l'intimé et/ou sa courtière ont sciemment trompé l'appelant en lui laissant entendre que la toiture ne nécessiterait pas de réparation ni de réfection particulière durant plusieurs années, les prétentions de l'appelant devraient néanmoins être rejetées, faute de connaître le coût de réparation du défaut d'étanchéité que la toiture a présenté à la fin de l'année 2014. Comme l'a relevé le Tribunal, l'appelant ne saurait en effet prétendre, au titre de la garantie contre les défauts, à une réduction de prix correspondant au coût de réfection à neuf de la toiture, dans son état d'origine. Compte tenu des travaux de rénovation effectués par l'intimé lui-même, l'appelant pouvait tout au plus s'attendre à ce que la toiture ne présente pas de problème d'étanchéité pendant quelques années et, en l'occurrence, la seule intervention d'une entreprise spécialisée mandatée par l'appelant, intervention qualifiée de légère par le responsable de ladite entreprise, a notamment permis d'atteindre ce but. Il n'est en effet pas établi que les fuites et les infiltrations d'eau dénoncées par</w:t>
      </w:r>
    </w:p>
    <w:p>
      <w:r>
        <w:t>- 14/16 -</w:t>
      </w:r>
    </w:p>
    <w:p>
      <w:r>
        <w:t>C/14338/2015 l'appelant se seraient poursuivies après l'intervention de ladite entreprise, la seule photographie d'un élément de ferblanterie produite par l'appelant devant la Cour étant notamment insuffisante pour parvenir à une telle conclusion. Dans l'hypothèse susvisée, l'appelant n'aurait pu donc exiger que la prise en charge du coût de cette intervention au titre de la garantie. En l'occurrence, ce coût n'est cependant pas allégué ni établi par l'appelant, qui persiste à réclamer le coût de réfection à neuf de la toiture, dans son état d'origine. Pour ce motif également, le jugement entrepris sera confirmé en tant qu'il a débouté l'appelant de ses prétentions en garantie des défauts relatifs à la toiture.</w:t>
      </w:r>
    </w:p>
    <w:p>
      <w:r>
        <w:rPr>
          <w:b/>
        </w:rPr>
        <w:t>E. 3.2.2</w:t>
      </w:r>
    </w:p>
    <w:p>
      <w:r>
        <w:t>En ce qui concerne la piscine, l'appelant reproche au Tribunal de ne pas avoir retenu que l'intimé lui avait frauduleusement dissimulé que celle-ci n'était pas en état de fonctionnement. En l'occurrence, il est établi que l'intimé a seulement indiqué à l'appelant que la piscine, qui n'était pas en eau lors de la vente, avait été utilisée pour la dernière fois en été 2013 et que sa remise en fonction ne nécessitait que le remplacement d'une pompe, pour un prix d'environ 300 fr. Or, comme l'a retenu le premier juge, le caractère inexact de ces affirmations n'est en l'occurrence pas vérifié. Il ressort certes de l'expertise ordonnée par le Tribunal que la piscine et ses installations sont vétustes, présentent des traces d'usure et ne correspondent plus aux standards de construction actuels; notamment, la liaison entre les bords du bassin de la piscine et la dalle en terrasse n'est pas bonne et est susceptible de donner lieu à des infiltrations d'eau dans le local technique. L'expert commis par le Tribunal a cependant précisé que seule une remise en eau de la piscine, à laquelle l'appelant n'avait jamais procédé, permettrait d'établir un éventuel défaut d'étanchéité de son bassin et des scellements des éléments incorporés. A défaut, le bon fonctionnement de la piscine et de ses installations techniques ne pouvait pas être vérifié. Sous réserve du remplacement de certaines pièces telles qu'une pompe, il ne pouvait être affirmé que, lors de l'achat de la villa, la piscine ne fût pas en état d'être mise en eau et utilisée. Aucun élément de la procédure ne vient en l'espèce contredire les constatations de l'expert, ou n'indique que l'intimé n'aurait pas utilisé la piscine pour la dernière fois en 2013, étant rappelé que le fardeau de la preuve de l'inexactitude des affirmations de l'intimé incombe à l'appelant. En particulier, il est établi que les deux sondages réalisés par l'appelant en 2013 sur le haut des murs de la piscine ont été correctement rebouchés et, si un risque de fuites à leur niveau ne peut pas totalement être exclu, l'expert a estimé que celles-ci n'auraient pas d'incidence sur la villa. A l'évidence, un tel risque de fuite ne peut par ailleurs pas être vérifié sans remettre complètement en eau la piscine, ce à quoi il n'a pas été procédé après la vente.</w:t>
      </w:r>
    </w:p>
    <w:p>
      <w:r>
        <w:t>- 15/16 -</w:t>
      </w:r>
    </w:p>
    <w:p>
      <w:r>
        <w:t>C/14338/2015 Il n'est par ailleurs pas établi que des fuites auraient été constatées lorsque, postérieurement à la vente, une entreprise a rempli la piscine d'une cinquantaine de centimètres d'eau, à la demande d'un voisin de l'appelant. Si un autre voisin a rapporté alors avoir craint que de l'eau ne s'infiltre dans son appartement, ce dernier n'a pas confirmé que tel avait été effectivement le cas. Dans ces conditions, le Tribunal a nié à juste titre l'existence d'une tromperie imputable à l'intimé en rapport avec le possible fonctionnement de la piscine au moment de la vente. Les éventuelles imperfections ou défectuosités de la piscine, découlant de sa vétusté, que l'intimé n'a pas cachée à l'appelant, tombent dès lors sous le coup de l'exclusion de garantie convenue contractuellement et c'est à bon droit que le premier juge a débouté l'appelant de ses prétentions à ce titre. Au surplus, comme pour la toiture, on relèvera que l'appelant ne saurait prétendre à une réfection complète de la piscine et à sa remise aux standards actuels au titre de la garantie des défauts. A supposer que l'existence d'une tromperie doive être admise, l'appelant n'aurait pu à ce titre exiger qu'une diminution de prix correspondant au coût d'élimination des éventuels défauts d'étanchéité du bassin et au coût de remplacement des installations éventuellement défectueuses, coûts que l'expertise ne permet pas en l'espèce de déterminer et qui devraient en outre être réduits de moitié, dès lors que l'appelant n'est copropriétaire de la piscine que dans cette proportion. Pour ce motif également, le jugement entrepris sera confirmé en tant qu'il a débouté l'appelant de ses prétentions en garantie relatives à la piscine de la villa qu'il a acquise.</w:t>
      </w:r>
    </w:p>
    <w:p>
      <w:r>
        <w:rPr>
          <w:b/>
        </w:rPr>
        <w:t>E. 3.2.3</w:t>
      </w:r>
    </w:p>
    <w:p>
      <w:r>
        <w:t>Pour le reste, l'appelant ne fait pas grief au Tribunal d'avoir condamné l'intimé à lui payer la somme de 2'000 fr. plus intérêts au titre des frais de réfection de la charpente du couvert à voitures. L'intimé n'a quant à lui pas formé d'appel joint. Par conséquent, le jugement entrepris sera intégralement confirmé.</w:t>
      </w:r>
    </w:p>
    <w:p>
      <w:r>
        <w:rPr>
          <w:b/>
        </w:rPr>
        <w:t>E. 4</w:t>
      </w:r>
    </w:p>
    <w:p>
      <w:r>
        <w:t>Les frais judiciaires d'appel seront arrêtés à 6'000 fr. (art. 17 et 35 RTFMC) et mis à la charge de l'appelant, qui succombe (art. 95 al. 1, art. 106 al. 1 CPC). Ils seront compensés avec l'avance de frais fournie par celui-ci, qui demeure dans cette mesure acquise à l'Etat et le solde de l'avance en 4'000 fr. lui sera restitué (art. 111 al. 1 CPC). L'appelant sera également condamné à payer la somme de 6'000 fr. à l'intimé à titre de dépens d'appel (art. 96, art. 105 al. 2 CPC; art. 85, art. 90 RTFMC), débours et TVA compris (art. 25 et 26 LaCC). * * * * *</w:t>
      </w:r>
    </w:p>
    <w:p>
      <w:r>
        <w:t>- 16/16 -</w:t>
      </w:r>
    </w:p>
    <w:p>
      <w:r>
        <w:t>C/14338/2015 PAR CES MOTIFS, La Chambre civile : A la forme : Déclare recevable l'appel interjeté le 2 mars 2020 par A______ contre le jugement JTPI/1325/2020 rendu le 24 janvier 2020 par le Tribunal de première instance dans la cause C/14338/2015-3. Au fond : Confirme ce jugement. Déboute les parties de toutes autres conclusions. Sur les frais : Arrête les frais judiciaires d'appel à 6'000 fr., les met à la charge de A______ et les compense avec l'avance de frais de même montant fournie par celui-ci, qui demeure acquise à l'Etat de Genève à due concurrence. Ordonne la restitution à A______ du solde son avance de frais à hauteur de 4'000 fr. Condamne A______ à payer à B______ la somme de 6'000 fr. à titre dépens d'appel. Siégeant : Monsieur Cédric-Laurent MICHEL, président; Madame Paola CAMPOMAGNANI et Madame Nathalie RAPP, juges; Madame Christel HENZELIN, greffière.</w:t>
      </w:r>
    </w:p>
    <w:p>
      <w:r>
        <w:t>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