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ACJC/1412/2014 vom 21. November 2014</w:t>
      </w:r>
    </w:p>
    <w:p>
      <w:r>
        <w:t>GE Cour de justice, 2014-11-21, FR</w:t>
      </w:r>
    </w:p>
    <w:p>
      <w:r>
        <w:rPr>
          <w:b/>
        </w:rPr>
        <w:t xml:space="preserve">Quelle: </w:t>
      </w:r>
      <w:r>
        <w:t>https://mcp.opencaselaw.ch/entscheid/ge_gerichte_ACJC_1412_2014</w:t>
      </w:r>
    </w:p>
    <w:p>
      <w:r>
        <w:t>FR: GE_GERICHTE ACJC/1412/2014 du 21 novembre 2014</w:t>
      </w:r>
    </w:p>
    <w:p>
      <w:r>
        <w:t>IT: GE_GERICHTE ACJC/1412/2014 del 21 novembre 2014</w:t>
      </w:r>
    </w:p>
    <w:p>
      <w:pPr>
        <w:pStyle w:val="Heading2"/>
      </w:pPr>
      <w:r>
        <w:t>Erwägungen</w:t>
      </w:r>
    </w:p>
    <w:p>
      <w:r>
        <w:rPr>
          <w:b/>
        </w:rPr>
        <w:t>E. 1</w:t>
      </w:r>
    </w:p>
    <w:p>
      <w:r>
        <w:t>S'agissant de la contestation d'une amende, seule la voie du recours est ouverte (art. 128 al. 4 et 319 let. b ch. 1 CPC). Interjeté dans le délai prévu par la loi et selon la forme prescrite, le recours est recevable (art. 321 al. 1 et 2 CPC).</w:t>
      </w:r>
    </w:p>
    <w:p>
      <w:r>
        <w:rPr>
          <w:b/>
        </w:rPr>
        <w:t>E. 2</w:t>
      </w:r>
    </w:p>
    <w:p>
      <w:r>
        <w:t>La recourante conteste sa condamnation à une amende disciplinaire au motif qu'elle n'avait pas modifié le rapport du 16 juillet 2013 pour obtenir la mainlevée de l'opposition.</w:t>
      </w:r>
    </w:p>
    <w:p>
      <w:r>
        <w:rPr>
          <w:b/>
        </w:rPr>
        <w:t>E. 2.1</w:t>
      </w:r>
    </w:p>
    <w:p>
      <w:r>
        <w:t>Selon l'art. 128 al. 3 CPC, la partie ou son représentant qui usent de mauvaise foi ou de procédés téméraires sont punis d'une amende disciplinaire de 2'000 fr. au plus; l'amende est de 5'000 fr. au plus en cas de récidive.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CPC, Code procédure civile commenté, 2011, n. 7, 24 à 26 ad art. 52 CPC).</w:t>
      </w:r>
    </w:p>
    <w:p>
      <w:r>
        <w:rPr>
          <w:b/>
        </w:rPr>
        <w:t>E. 2.2</w:t>
      </w:r>
    </w:p>
    <w:p>
      <w:r>
        <w:t>En l'espèce, la recourante a modifié le rapport de réparation après signature par l'intimée, sur des points dont il y a lieu d'admettre qu'elle les considérait comme importants. En effet, elle n'aurait pas eu de motif d'ajouter des mentions sur des points qu'elle jugeait insignifiants ou sans pertinence sur son droit à obtenir le paiement de la réparation effectuée, que ces ajouts soient le fait du réparateur ou d'un tiers. A cet égard, le rapport original indique que la garantie de l'appareil réparé est prolongée, alors que la modification mentionne que l'intimée va recevoir une facture, ce qui n'est pas dénué de toute pertinence sur l'éventuel droit de la recourante d'obtenir la mainlevée. La mention selon laquelle "les travaux susmentionnés ont été exécutés et le montant facturé sera officiellement</w:t>
      </w:r>
    </w:p>
    <w:p>
      <w:r>
        <w:t>- 4/5 -</w:t>
      </w:r>
    </w:p>
    <w:p>
      <w:r>
        <w:t>C/1216/2014 reconnu", figurant sur le rapport original, est quant à elle peu claire et ne suffisait pas à fonder la mainlevée de l'opposition. La recourante n'a pas pris la peine d'expliquer dans sa requête de mainlevée que le rapport de réparation avait été unilatéralement modifié après sa signature par l'intimée. Elle invoque devant la Cour que les mentions ajoutées l'auraient été par le réparateur à la fin de sa journée de travail. Outre le fait que cette explication, nouvelle, est irrecevable (art. 326 al. 1 CPC), elle apparaît douteuse, dans la mesure où ces ajouts ont été effectués avec des stylos de couleurs différentes, ce qui laisse penser qu'ils ne l'ont pas été simultanément, En tout état de cause, ladite explication ne justifie pas de telles modifications, à l'insu tant de l'intimée que du Tribunal, apportées sur une pièce qui fondait la requête de mainlevée. De plus, si l'intimée avait égaré le rapport du 16 juillet 2013, il lui aurait été difficile d'établir qu'il avait été modifié, ce que la recourante ne pouvait ignorer. Ainsi, au vu de ces circonstances, le Tribunal a retenu à bon droit que le comportement de la recourante consistant à modifier subrepticement une pièce de la procédure sur laquelle elle fondait sa requête de mainlevée était contraire à la bonne foi et devait être sanctionné par une amende au sens de l'art. 128 al. 3 CPC. La recourante ne conteste pas, pour le surplus, le montant de cette amende, de sorte que le recours sera rejeté.</w:t>
      </w:r>
    </w:p>
    <w:p>
      <w:r>
        <w:rPr>
          <w:b/>
        </w:rPr>
        <w:t>E. 3</w:t>
      </w:r>
    </w:p>
    <w:p>
      <w:r>
        <w:t>La recourante, qui succombe, sera condamnée aux frais judiciaires du recours (art. 106 al. 1 CPC), arrêtés à 150 fr. et compensés avec l'avance fournie, qui reste acquise à l'Etat de Genève (art. 111 al. 1 CPC).</w:t>
      </w:r>
    </w:p>
    <w:p>
      <w:r>
        <w:t>Il ne sera pas alloué de dépens à l'intimée, qui n'a pas répondu au recours. * * * * *</w:t>
      </w:r>
    </w:p>
    <w:p>
      <w:r>
        <w:t>- 5/5 -</w:t>
      </w:r>
    </w:p>
    <w:p>
      <w:r>
        <w:t>C/1216/2014 PAR CES MOTIFS, La Chambre civile : A la forme : Déclare recevable le recours interjeté par A______ contre le jugement JTPI/8921/2014 rendu le 14 juillet 2014 par le Tribunal de première instance dans la cause C/1216/2014-13 SML. Au fond : Le rejette. Déboute les parties de toutes autres conclusions. Sur les frais : Arrête les frais judiciaires de recours à 150 fr. et les met à la charge de A______. Compense les frais judiciaires du recours avec l'avance de frais du même montant fournie par A______,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