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ACJC/1411/2023 vom 23. Oktober 2023</w:t>
      </w:r>
    </w:p>
    <w:p>
      <w:r>
        <w:t>GE Cour de justice, 2023-10-23, FR</w:t>
      </w:r>
    </w:p>
    <w:p>
      <w:r>
        <w:rPr>
          <w:b/>
        </w:rPr>
        <w:t xml:space="preserve">Quelle: </w:t>
      </w:r>
      <w:r>
        <w:t>https://mcp.opencaselaw.ch/entscheid/ge_gerichte_ACJC_1411_2023</w:t>
      </w:r>
    </w:p>
    <w:p>
      <w:r>
        <w:t>FR: GE_GERICHTE ACJC/1411/2023 du 23 octobre 2023</w:t>
      </w:r>
    </w:p>
    <w:p>
      <w:r>
        <w:t>IT: GE_GERICHTE ACJC/1411/2023 del 23 ottobre 2023</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w:t>
      </w:r>
    </w:p>
    <w:p>
      <w:r>
        <w:t>- 5/11 -</w:t>
      </w:r>
    </w:p>
    <w:p>
      <w:r>
        <w:t>C/3958/2023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w:t>
      </w:r>
    </w:p>
    <w:p>
      <w:r>
        <w:rPr>
          <w:b/>
        </w:rPr>
        <w:t>E. 1.2</w:t>
      </w:r>
    </w:p>
    <w:p>
      <w:r>
        <w:t>En l'espèce, il ressort des explications de la locataire qu'elle conteste la résiliation de son bail. Au vu du montant du loyer, la valeur litigieuse est supérieure à 10'000 fr. La voie de l'appel est dès lors ouverte en ce qui concerne le prononcé de l'évacuation.</w:t>
      </w:r>
    </w:p>
    <w:p>
      <w:r>
        <w:rPr>
          <w:b/>
        </w:rPr>
        <w:t>E. 1.3</w:t>
      </w:r>
    </w:p>
    <w:p>
      <w:r>
        <w:t>Interjeté dans le délai et la forme prescrits par la loi (art. 130, 131 CPC), l'appel est ainsi recevable.</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En ce qui concerne les vrais nova (echte Noven), le Tribunal fédéral a jugé que le requérant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(arrêt 4A_420/2012 du 7 novembre 2012 consid. 5). Cette interdiction ne saurait concerner la partie requise, qui n'a pas introduit la requête d'expulsion.</w:t>
      </w:r>
    </w:p>
    <w:p>
      <w:r>
        <w:t>- 6/11 -</w:t>
      </w:r>
    </w:p>
    <w:p>
      <w:r>
        <w:t>C/3958/2023 L'art. 317 al. 1 CPC s'applique donc pleinement à la locataire qui a été attraite en première instance, par la requête en cas clair de la bailleresse.</w:t>
      </w:r>
    </w:p>
    <w:p>
      <w:r>
        <w:rPr>
          <w:b/>
        </w:rPr>
        <w:t>E. 1.4.2</w:t>
      </w:r>
    </w:p>
    <w:p>
      <w:r>
        <w:t>En l'espèce, l'appelante soutient que lors de l'audience, elle n'était pas en mesure de disposer d'une confirmation de sa banque de l'ordre de paiement exécuté la veille. Cette affirmation n'apparaît pas d'emblée inexacte et l'intimée ne l'a pas contestée. Il sera donc admis qu'elle n'était pas en mesure de produire ladite confirmation avant que la cause ne soit gardée à juger par le Tribunal. Il en va de même des autres confirmations de paiement, qui constituent des vrais novas et ont été produits sans retard et sont donc également recevables. Les pièces nouvelles produites par l'appelante sont dès lors recevables.</w:t>
      </w:r>
    </w:p>
    <w:p>
      <w:r>
        <w:rPr>
          <w:b/>
        </w:rPr>
        <w:t>E. 1.5</w:t>
      </w:r>
    </w:p>
    <w:p>
      <w:r>
        <w:t>La Cour revoit la cause avec un plein pouvoir d'examen en fait et en droit (art. 310 CPC).</w:t>
      </w:r>
    </w:p>
    <w:p>
      <w:r>
        <w:rPr>
          <w:b/>
        </w:rPr>
        <w:t>E. 2</w:t>
      </w:r>
    </w:p>
    <w:p>
      <w:r>
        <w:t>L'appelante conteste que le cas soit clair au sens de l'art. 257 CPC. Elle soutient que le délai comminatoire n'a pas été respecté et que le congé a été donné avant son expiration.</w:t>
      </w:r>
    </w:p>
    <w:p>
      <w:r>
        <w:rPr>
          <w:b/>
        </w:rPr>
        <w:t>E. 2.1.1</w:t>
      </w:r>
    </w:p>
    <w:p>
      <w:r>
        <w:t>Aux termes de l'art. 257 al. 1 CPC, le tribunal admet l'application de la procédure sommaire de protection dans les cas clairs lorsque les conditions suivantes sont remplies :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w:t>
      </w:r>
    </w:p>
    <w:p>
      <w:r>
        <w:t>- 7/11 -</w:t>
      </w:r>
    </w:p>
    <w:p>
      <w:r>
        <w:t>C/3958/2023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 A cet égard, cela ne signifie pas qu'un cas clair d'un point de vue juridique doit toujours être nié dès qu'un exercice abusif du droit est invoqué. En effet, l'interdiction de l'abus de droit ne suppose pas une évaluation de toutes les circonstances, lorsque le comportement de la partie concernée constitue manifestement un abus, ce qui est notamment le cas lorsque celui-ci peut être classé dans l'un des groupes de cas reconnus par la jurisprudence et la doctrine (arrêts du Tribunal fédéral 4A_12/2023 du 31 mars 2023, consid. 3.2, 4A_25/2019 du 15 avril 2019, consid. 3; 4A_185/2017 du 15 juin 2017, consid. 5.4; 4A_2/2016 du 18 février 2016, consid. 2.1).</w:t>
      </w:r>
    </w:p>
    <w:p>
      <w:r>
        <w:rPr>
          <w:b/>
        </w:rPr>
        <w:t>E. 2.1.2</w:t>
      </w:r>
    </w:p>
    <w:p>
      <w:r>
        <w:t>La résiliation de bail est une déclaration unilatérale de volonté de l'une des parties au contrat soumise à réception. Lorsque la communication d'une manifestation de volonté constitue le moment à partir duquel court un délai de droit matériel fédéral, il faut appliquer la théorie de la réception dite absolue.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Dans deux cas en matière de bail, la jurisprudence du Tribunal fédéral a dérogé à la théorie de la réception absolue. Il s'agit de la communication, par pli recommandé, de l'avis de majoration de loyer au sens de l'art. 269d CO (ATF 107 II 189 consid. 2) et de celle de la sommation de payer instituée par l'art. 257d al. 1 CO (ATF 119 II 147 consid. 2). Pour ces deux éventualités, à l'instar de ce qui prévaut pour les délais de procédure, si le courrier recommandé ne peut pas être remis directement au destinataire (ou à une personne autorisée par celui-ci) et qu'un avis de retrait mentionnant le délai de garde postal a été mis dans sa boîte aux lettres</w:t>
      </w:r>
    </w:p>
    <w:p>
      <w:r>
        <w:t>- 8/11 -</w:t>
      </w:r>
    </w:p>
    <w:p>
      <w:r>
        <w:t>C/3958/2023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 et les références citées). Le congé donné avant l'expiration du délai comminatoire est inefficace (cf. ATF 121 III 156 consid. 1c/aa p. 161; plus récemment arrêt 4C.124/2005 du 26 juillet 2005, consid. 3.2 et les références citées). La jurisprudence considère toutefois qu'un avis de résiliation envoyé par le bailleur avant l'expiration de ce délai est valable si le locataire qui ne le reçoit qu'après son expiration n'a pas payé en temps voulu et que l'envoi prématuré ne l'a pas induit en erreur ou ne l'a pas empêché d'effectuer un paiement en temps voulu (arrêt du Tribunal fédéral 4A_353/2016 du 10 octobre 2016 consid. 4.2). L'invocation de la nullité ou de l'inefficacité d'un congé peut constituer un abus de droit dans l'hypothèse d'une résiliation anticipée pour non-paiement du loyer, lorsque le locataire n'entend manifestement pas régler les loyers arriérés pendant le délai comminatoire imparti. En effet, la fixation d'un délai de paiement, assortie de la menace de la résiliation du bail, telle qu'elle est prévue à l'art. 257d al. 1 CO, vise principalement à fournir au locataire une dernière occasion d'échapper aux conséquences pénibles du congé en lui accordant un minimum de temps pour se procurer les moyens nécessaires au paiement de l'arriéré de loyer (arrêts du Tribunal fédéral 4C.96/2006 du 4 juillet 2006, consid 2.4; 4C.124/2005 du 26 juillet 2005 consid. 3.3 et les références citées).</w:t>
      </w:r>
    </w:p>
    <w:p>
      <w:r>
        <w:rPr>
          <w:b/>
        </w:rPr>
        <w:t>E. 2.2</w:t>
      </w:r>
    </w:p>
    <w:p>
      <w:r>
        <w:t>En l'espèce, l'appelante est réputée avoir reçu l'avis comminatoire du 22 septembre 2022 à l'échéance du délai de garde, soit le 30 septembre 2022. L'avis de résiliation du 25 octobre 2022, lequel se réfère de manière erronée à un avis comminatoire du 14 septembre 2022 et dont il y a lieu d'admettre qu'il a été expédié le jour même et est réputé avoir été reçu par l'appelante le surlendemain, a donc été communiqué à l'appelante avant l'échéance du délai qui lui avait été octroyé pour régler l'arriéré. Le congé est dès lors en principe inefficace. Même si la jurisprudence a admis que l'invocation de l'inefficacité de la résiliation anticipée pouvait constituer un abus de droit, les circonstances de fait permettant, le cas échéant, d'admettre un tel abus de droit nécessitent une appréciation des faits, lesquels ne sont pas suffisamment connus sur ce point. L'intimée n'a par ailleurs pas répondu à l'appel, auquel elle ne s'est dès lors pas opposée. Au vu de ce qui précède, compte tenu de l'ensemble des circonstances particulières du cas d'espèce, le cas ne peut être qualifié de clair. Les ch. 1 et 2 du</w:t>
      </w:r>
    </w:p>
    <w:p>
      <w:r>
        <w:t>- 9/11 -</w:t>
      </w:r>
    </w:p>
    <w:p>
      <w:r>
        <w:t>C/3958/2023 dispositif du jugement attaqué seront dès lors annulés et la requête d'évacuation sera déclarée irrecevable.</w:t>
      </w:r>
    </w:p>
    <w:p>
      <w:r>
        <w:rPr>
          <w:b/>
        </w:rPr>
        <w:t>E. 3</w:t>
      </w:r>
    </w:p>
    <w:p>
      <w:r>
        <w:t>L'appelante conteste devoir la somme de 16'000 fr. qu'elle a été condamnée à payer par le Tribunal. Elle se fonde à cet égard sur des pièces bancaires nouvelles, jugées recevables (cf. supra consid. 1.4).</w:t>
      </w:r>
    </w:p>
    <w:p>
      <w:r>
        <w:t>L'intimée n'a pas contesté que l'appelante avait payé le montant de 16'000 fr. qu'elle a été condamnée à lui payer. Au vu des pièces produites devant la Cour, cette condamnation est infondée. Le ch. 3 du dispositif du jugement attaqué sera dès lors annulé.</w:t>
      </w:r>
    </w:p>
    <w:p>
      <w:r>
        <w:rPr>
          <w:b/>
        </w:rPr>
        <w:t>E. 4</w:t>
      </w:r>
    </w:p>
    <w:p>
      <w:r>
        <w:t>A teneur de l'art. 22 al. 1 LaCC, il n'est pas prélevé de frais dans les causes soumises à la juridiction des baux et loyers (ATF 139 III 182 consid. 2.6). * * * * *</w:t>
      </w:r>
    </w:p>
    <w:p>
      <w:r>
        <w:t>- 10/11 -</w:t>
      </w:r>
    </w:p>
    <w:p>
      <w:r>
        <w:t>C/3958/2023 PAR CES MOTIFS, La Chambre des baux et loyers : A la forme : Déclare recevable l'appel interjeté le 19 juin 2023 par A______ contre le jugement JTBL/453/2023 rendu le 6 juin 2023 par le Tribunal des baux et loyers dans la cause C/3958/2023-8-SE. Au fond : Annule ce jugement et cela fait, statuant à nouveau : Déclare irrecevable, respectivement rejette, la requête formée le 2 mars 2023 par B______ dans la cause C/3958/2023. Dit que la procédure est gratuite. Déboute les parties de toutes autres conclusions. Siégeant : Madame Nathalie LANDRY-BARTHE, présidente; Madame Sylvie DROIN et Monsieur Laurent RIEBEN, juges; Monsieur Serge PATEK et Madame Sibel UZUN,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- 11/11 -</w:t>
      </w:r>
    </w:p>
    <w:p>
      <w:r>
        <w:t>C/3958/2023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