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ACJC/1411/2020 vom 22. Oktober 2020</w:t>
      </w:r>
    </w:p>
    <w:p>
      <w:r>
        <w:t>GE Cour de justice, 2020-10-22, FR</w:t>
      </w:r>
    </w:p>
    <w:p>
      <w:r>
        <w:rPr>
          <w:b/>
        </w:rPr>
        <w:t xml:space="preserve">Quelle: </w:t>
      </w:r>
      <w:r>
        <w:t>https://mcp.opencaselaw.ch/entscheid/ge_gerichte_ACJC_1411_2020</w:t>
      </w:r>
    </w:p>
    <w:p>
      <w:r>
        <w:t>FR: GE_GERICHTE ACJC/1411/2020 du 22 octobre 2020</w:t>
      </w:r>
    </w:p>
    <w:p>
      <w:r>
        <w:t>IT: GE_GERICHTE ACJC/1411/2020 del 22 ottobre 2020</w:t>
      </w:r>
    </w:p>
    <w:p>
      <w:pPr>
        <w:pStyle w:val="Heading2"/>
      </w:pPr>
      <w:r>
        <w:t>Volltext</w:t>
      </w:r>
    </w:p>
    <w:p>
      <w:r>
        <w:t>Le présent arrêt est communiqué aux parties par plis recommandés du 22 octobre 2020.</w:t>
      </w:r>
    </w:p>
    <w:p>
      <w:r>
        <w:t>REPUBLIQUE ET</w:t>
      </w:r>
    </w:p>
    <w:p>
      <w:r>
        <w:t>CANTON DE GENEVE POUVOIR JUDICIAIRE C/5776/2019 ACJC/1411/2020 ARRÊT DE LA COUR DE JUSTICE Chambre civile DU VENDREDI 2 OCTOBRE 2020</w:t>
      </w:r>
    </w:p>
    <w:p>
      <w:r>
        <w:t>Entre Monsieur A______, domicilié ______ [GE], appelant d'une ordonnance rendue par la 20ème Chambre du Tribunal de première instance de ce canton le 7 avril 2020, comparant par Me Stéphane Rey, avocat, rue Michel-Chauvet 3, case postale 477, 1211 Genève 12, en l'étude duquel il fait élection de domicile, et 1) Madame C______, ______ Genève, intimée, comparant en personne, 2) Les enfants mineurs D______ et E______, domiciliés ______ Genève, autres intimés, comparant par Me Dominique Bavarel, avocat, boulevard de Saint-Georges 72, 1205 Genève, en l'étude duquel ils font élection de domicile.</w:t>
      </w:r>
    </w:p>
    <w:p>
      <w:r>
        <w:t>- 2/5 -</w:t>
      </w:r>
    </w:p>
    <w:p>
      <w:r>
        <w:t>C/5776/2019 Attendu EN FAIT, que par jugement JTPI/14763/2015 du 4 décembre 2015, le Tribunal de première instance a prononcé le divorce des époux A______ et C______; Que par arrêt ACJC/1383/2016 du 21 octobre 2016, la Cour de justice a modifié ce jugement et condamné notamment A______ à payer à C______ la somme de 1'170 fr. par mois du 1er mars 2017 au 28 février 2023 à titre de contribution post-divorce à son entretien; Qu'en date du 6 mars 2019, A______ a saisi le Tribunal d'une demande en modification du jugement de divorce tendant principalement à la suppression de la contribution d'entretien post-divorce due à C______; Que le 3 octobre 2019, A______ a requis la suppression de cette contribution par voie de mesures urgentes; Que par ordonnance OTPI/204/2020 du 7 avril 2020, notifiée à A______ le 15 avril 2020, statuant par voie de mesures provisionnelles, le Tribunal a réduit à 885 fr. par mois le montant de la contribution due par celui-ci à l'entretien de C______ (ch. 1 du dispositif), confirmé le jugement de divorce JTPI/14763/2015 et l'arrêt ACJC/1383/2016 pour le surplus (ch. 2), renvoyé la décision sur les frais à la décision finale (ch. 3), dit qu'il n'était pas alloué de dépens (ch. 4) et débouté les parties de toutes autres conclusions (ch. 4); Que par acte expédié le 17 avril 2020 au greffe du Tribunal, qui l'a transmis à la Cour de justice le 22 avril suivant, A______ forme un appel contre cette ordonnance, dont il sollicite l'annulation; Qu'invitée à se déterminer sur l'appel, C______ n'a pas fait usage de son droit de réponse; Que par courrier de leur curatrice du 15 mai 2020, les enfants mineurs D______ et E______ s'en sont rapporté à justice sur la recevabilité et le bien-fondé de l'appel; Que par pli du greffe du 9 juin 2020, les parties ont été informées de ce que la cause était gardée à juger; Que par jugement JTPI/5048/2020 du 7 mai 2020, statuant par voie de procédure ordinaire, le Tribunal a notamment supprimé la contribution due par A______ à l'entretien de C______ à compter du 1er avril 2020 et confirmé le jugement de divorce JTPI/14763/2015 et l'arrêt ACJC/1383/2016 pour le surplus; Que le 8 juin 2020, C______ a formé un appel contre ce jugement; Que par arrêt ACJC/1324/2020, la Cour de justice a déclaré cet appel irrecevable pour défaut de paiement de l'avance de frais.</w:t>
      </w:r>
    </w:p>
    <w:p>
      <w:r>
        <w:t>- 3/5 -</w:t>
      </w:r>
    </w:p>
    <w:p>
      <w:r>
        <w:t>C/5776/2019 Considérant EN DROIT qu'en vertu de l'art. 59 al. 1 CPC, le tribunal n'entre en matière que sur les demandes et les requêtes qui satisfont aux conditions de recevabilité de l'action; Qu'en font notamment partie l'existence d'un intérêt digne de protection du demandeur ou du requérant (art. 59 al. 2 let. a CPC) et le fait que le litige ne fasse pas l'objet d'une décision entrée en force (art. 59 al. 2 let. e CPC); Qu'en règle générale, les mesures provisionnelles deviennent caduques dès l'entrée en vigueur de la décision au fond (art. 268 al. 2 CPC); Que le jugement de divorce étant susceptible d'être attaqué par un appel, voie de recours assortie d'un effet suspensif (art. 315 al. 1 CPC), ses effets ne se déploient qu'à son entrée en force; Qu'il s'ensuit qu'en cas d'appel, les mesures provisionnelles prononcées en vertu de l'art. 276 CPC continuent de s'appliquer; Que ce n'est qu'une fois la procédure au fond définitivement achevée que les mesures provisionnelles ordonnées pendant le procès deviennent caduques et ne déploient plus d'effets pour le futur; elles sont alors remplacées par les effets du divorce (TAPPY, in Code de procédure civile, Commentaire romand, 2ème éd., 2019, n. 51 ad art. 276); Que ces principes s'appliquent mutatis mutandis à la modification du jugement de divorce; Qu'en l'espèce, dans son jugement JTPI/5048/2020 du 7 mai 2020, le Tribunal a statué au fond sur la suppression de la contribution d'entretien litigieuse et sur la date à compter de laquelle cette suppression devait intervenir, soit le 1er avril 2020; Que cette date est antérieure au prononcé de l'ordonnance entreprise du 7 avril 2020, par laquelle le Tribunal a réduit le montant de ladite contribution sur mesures provisionnelles avec effet dès ce prononcé; Que les mesures provisionnelles ainsi ordonnées sont désormais caduques; Que l'appel formé par C______ contre le jugement JTPI/5048/2020 susvisé a été déclaré irrecevable; Que ce jugement est ainsi entré en force, réglant définitivement le sort de l'obligation d'entretien litigieuse; Que l'appel formé par A______ contre l'ordonnance rendue sur mesures provisionnelles est aujourd'hui dénué d'objet;</w:t>
      </w:r>
    </w:p>
    <w:p>
      <w:r>
        <w:t>- 4/5 -</w:t>
      </w:r>
    </w:p>
    <w:p>
      <w:r>
        <w:t>C/5776/2019 Que cette absence d'objet sera dûment constatée, scellant le sort de l'appel, nonobstant la recevabilité initiale de celui-ci; Que les frais judiciaires de l'appel seront arrêtés à 400 fr. (art. 31 et 37 RTFMC) et mis à la charge des parties pour moitié chacune, vu l'issue de l'appel (art. 95 al. 1, 107 al. 1 let. e CPC); Que ces frais seront compensés à due concurrence avec l'avance de frais de 800 fr. fournie par l'appelant, laquelle demeure acquise à l'Etat dans cette mesure (art. 111 al. 1 CPC); Que le solde de cette avance, soit 400 fr. sera restitué à l'appelant, tandis que l'intimée sera condamnée à lui verser sa part des frais, soit la somme de 200 fr. (art. 111 al. 2 CPC); Qu'au vu de la nature familiale du litige, les parties supporteront leurs propres dépens (art. 107 al. 1 let. c CPC). * * * * *</w:t>
      </w:r>
    </w:p>
    <w:p>
      <w:r>
        <w:t>- 5/5 -</w:t>
      </w:r>
    </w:p>
    <w:p>
      <w:r>
        <w:t>C/5776/2019 PAR CES MOTIFS, La Chambre civile : Déclare recevable l'appel interjeté le 15 avril 2020 par A______ contre l'ordonnance OTPI/204/2020 rendue le 7 avril 2020 par le Tribunal de première instance dans la cause C/5776/2019. Constate que l'appel est désormais sans objet. Déboute les parties de toutes autres conclusions. Arrête les frais judiciaires à 400 fr., les met à la charge des parties pour moitié chacune et les compense avec l'avance de frais fournie par A______, qui demeure acquise à l'Etat de Genève à due concurrence. Ordonne la restitution à A______ du solde de son avance en 400 fr. Condamne C______ à payer à A______ la somme de 200 fr. Dit que chaque partie supporte ses propres dépens d'appel. Siégeant : Monsieur Cédric-Laurent MICHEL, président; Madame Pauline ERARD et Madame Paola CAMPOMAGNANI, juges; Madame Christel HENZELIN, greffière. Le président : Cédric-Laurent MICHEL</w:t>
      </w:r>
    </w:p>
    <w:p>
      <w:r>
        <w:t>La greffière : Christel HENZELIN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