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ACJC/1410/2021 vom 15. Dezember 2021</w:t>
      </w:r>
    </w:p>
    <w:p>
      <w:r>
        <w:t>GE Cour de justice, 2021-12-15, FR</w:t>
      </w:r>
    </w:p>
    <w:p>
      <w:r>
        <w:rPr>
          <w:b/>
        </w:rPr>
        <w:t xml:space="preserve">Quelle: </w:t>
      </w:r>
      <w:r>
        <w:t>https://mcp.opencaselaw.ch/entscheid/ge_gerichte_ACJC_1410_2021</w:t>
      </w:r>
    </w:p>
    <w:p>
      <w:r>
        <w:t>FR: GE_GERICHTE ACJC/1410/2021 du 15 décembre 2021</w:t>
      </w:r>
    </w:p>
    <w:p>
      <w:r>
        <w:t>IT: GE_GERICHTE ACJC/1410/2021 del 15 dicembre 2021</w:t>
      </w:r>
    </w:p>
    <w:p>
      <w:pPr>
        <w:pStyle w:val="Heading2"/>
      </w:pPr>
      <w:r>
        <w:t>Erwägungen</w:t>
      </w:r>
    </w:p>
    <w:p>
      <w:r>
        <w:rPr>
          <w:b/>
        </w:rPr>
        <w:t>E. 1</w:t>
      </w:r>
    </w:p>
    <w:p>
      <w:r>
        <w:t>Interjeté contre un jugement déclarant la demande irrecevable, soit une décision finale de première instance (art. 308 al. 1 let. a CPC; JEANDIN, Commentaire Romand, CPC, 2019, n° 7 ad art. 308 CPC), auprès de l'autorité compétente (art. 120 al. 1 let. a LOJ), dans une affaire patrimoniale dont la valeur litigieuse est supérieure à 10'000 fr. (art. 91 al. 1, 92 al. 1, 308 al. 2 CPC), dans le délai utile de trente jours et selon la forme prescrite par la loi (art. 130 al. 1, 142 al. 1, art. 311 al. 1 CPC), l'appel est recevable.</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w:t>
      </w:r>
    </w:p>
    <w:p>
      <w:r>
        <w:t>L'intimée conclut préalablement à l'irrecevabilité des nombreuses pièces "nouvelles" produites par l'appelante à l'appui de son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w:t>
      </w:r>
    </w:p>
    <w:p>
      <w:r>
        <w:t>- 7/12 -</w:t>
      </w:r>
    </w:p>
    <w:p>
      <w:r>
        <w:t>C/29446/2019</w:t>
      </w:r>
    </w:p>
    <w:p>
      <w:r>
        <w:rPr>
          <w:b/>
        </w:rPr>
        <w:t>E. 2.2</w:t>
      </w:r>
    </w:p>
    <w:p>
      <w:r>
        <w:t>En l'occurrence, les titres produits par l'appelante dans son chargé du 9 novembre 2020 ne sont pour la plupart pas nouveaux, mais sont des actes et pièces issus de la procédure de première instance, organisés en chargé à l'appui de l'écriture d'appel. Ces "pièces", figurant déjà à la procédure, ne sont pas des moyens de preuve nouveaux et sont donc admissibles aux débats d'appel.</w:t>
      </w:r>
    </w:p>
    <w:p>
      <w:r>
        <w:t>En tout état, le grief soulevé par l'appelante consiste en un problème juridique qui ne nécessite le soutien d'aucune pièce. La question de la recevabilité des pièces – cas échéant réellement nouvelles – produites par l'appelante peut demeurer indécise, celles-ci n'étant pas pertinentes pour l'issue du litige.</w:t>
      </w:r>
    </w:p>
    <w:p>
      <w:r>
        <w:rPr>
          <w:b/>
        </w:rPr>
        <w:t>E. 3</w:t>
      </w:r>
    </w:p>
    <w:p>
      <w:r>
        <w:t>L'appelante fait grief au premier juge d'avoir considéré que l'irrecevabilité pour défaut de conciliation préalable obligatoire de ses conclusions en paiement – irrecevabilité non contestée en appel – entraînait l'irrecevabilité de l'entier des conclusions de la demande, partant, également de celles en inscription définitive d'une hypothèque légale. Elle critique particulièrement deux motivations ayant conduit le Tribunal à ne pas distinguer le sort des deux actions cumulées dans la demande : le premier juge a retenu que les allégués de faits propres à chacune des actions cumulées étaient inextricables et ne pouvaient donc être séparés facilement; il a par ailleurs estimé que les deux actions cumulées relevaient de juridictions cantonales différentes en raison des règles sur la compétence territoriale. L'appelante reproche à cette motivation son caractère erroné et excessivement formaliste.</w:t>
      </w:r>
    </w:p>
    <w:p>
      <w:r>
        <w:rPr>
          <w:b/>
        </w:rPr>
        <w:t>E. 3.1</w:t>
      </w:r>
    </w:p>
    <w:p>
      <w:r>
        <w:t>Le respect du préalable obligatoire de la tentative de conciliation (art. 197 CPC), est une condition de recevabilité de la demande au sens de l'art. 59 CPC, bien que non mentionné dans cette disposition, et doit être examiné d'office par le juge (art. 60 CPC; ATF 139 III 273 consid. 2.1).</w:t>
      </w:r>
    </w:p>
    <w:p>
      <w:r>
        <w:t>L'art. 198 CPC pose des exceptions au préalable obligatoire de la tentative de conciliation, notamment "lorsque le tribunal a fixé un délai pour le dépôt de la demande" (art. 198 let. h CPC). Par cette formulation, le législateur avait essentiellement à l'esprit les demandes précédées de mesures provisionnelles et inscriptions provisoires au Registre foncier, dans le cadre desquelles le juge fixe un délai au requérant pour les valider au moyen d'une action au fond (art. 263 CPC; BOHNET, Commentaire Romand, CPC, 2019, n° 30 et 33 ad art. 198 CPC).</w:t>
      </w:r>
    </w:p>
    <w:p>
      <w:r>
        <w:rPr>
          <w:b/>
        </w:rPr>
        <w:t>E. 3.2</w:t>
      </w:r>
    </w:p>
    <w:p>
      <w:r>
        <w:t>L'art. 90 CPC, sous le titre cumul d'actions, autorise le demandeur à réunir dans la même action plusieurs prétentions contre le même défendeur pour autant que : a. le même tribunal soit compétent à raison de la matière; b. elles soient soumises à la même procédure. Le cumul d'actions n'est pas un motif de dispense du préalable obligatoire de la conciliation car il n'appartient pas au catalogue exhaustif des exceptions prévues</w:t>
      </w:r>
    </w:p>
    <w:p>
      <w:r>
        <w:t>- 8/12 -</w:t>
      </w:r>
    </w:p>
    <w:p>
      <w:r>
        <w:t>C/29446/2019 par l'art. 198 CPC. Ainsi, une action en libération de dette – non soumise au préalable obligatoire de la conciliation (art. 198 let. e ch. 1 CPC) – ne peut être cumulée et jugée avec une demande en paiement qui n'a pas été soumise à la conciliation obligatoire, faute de recevabilité de cette dernière (arrêt du Tribunal fédéral 4A_413/2012 du 14 janvier 2013 consid. 6; 4A_262/2018 du 31 août 2018; 4A_176/2019 du 2 septembre 2019 consid. 4.3; 4A_213/2019 du</w:t>
      </w:r>
    </w:p>
    <w:p>
      <w:r>
        <w:rPr>
          <w:b/>
        </w:rPr>
        <w:t>E. 3.3</w:t>
      </w:r>
    </w:p>
    <w:p>
      <w:r>
        <w:t>En l'espèce, les parties ne contestent plus en appel que les conclusions en paiement qui n'ont pas été soumises à la tentative de conciliation ne sont pas recevables et ne peuvent être cumulées aux conclusions en inscription définitive de l'hypothèque légale, dispensées de conciliation. Le seul point litigieux porte sur l'irrecevabilité de la demande dans son intégralité prononcée par le premier juge.</w:t>
      </w:r>
    </w:p>
    <w:p>
      <w:r>
        <w:t>- 9/12 -</w:t>
      </w:r>
    </w:p>
    <w:p>
      <w:r>
        <w:t>C/29446/2019</w:t>
      </w:r>
    </w:p>
    <w:p>
      <w:r>
        <w:t>Une telle sanction a été qualifiée d'excessivement formaliste par le Tribunal fédéral dans le cas d'un cumul d'actions relevant de la compétence matérielle de tribunaux différents. Il apparaît cohérent qu'une solution similaire soit retenue lorsque le cumul doit être refusé entre une action en inscription d'une hypothèque légale et une action en paiement.</w:t>
      </w:r>
    </w:p>
    <w:p>
      <w:r>
        <w:t>Les arrêts cantonaux, notamment vaudois et genevois, qui ont prononcé l'irrecevabilité totale de la demande en cas de cumul de prétentions, dont une partie n'avait pas été soumise à la conciliation préalable, ont justifié cette position par la nécessité de dissuader les plaideurs de cumuler des conclusions dans le seul but d'éviter le préalable de la conciliation (ACJC/347/2018 du 16 mars 2018 consid. 2.3 et 2.4; TC/VD CACI du 27 mars 2013/180 consid. 3d., in JdT 2013 III 99). Or, un tel résultat peut être atteint en ne déclarant irrecevables que les conclusions qui n'ont pas été soumises à la conciliation préalable alors qu'elles auraient dû l'être. Prononcer l'irrecevabilité totale apparaît disproportionné, d'autant plus que les prétentions dispensées du préalable de la conciliation sont généralement soumises à un délai pour leur introduction en justice; les déclarer irrecevables est donc susceptible d'en faire perdre définitivement le bénéfice à leur titulaire. C'est particulièrement vrai en l'occurrence, puisque l'appelante perdrait le bénéfice de l'inscription de l'hypothèque légale, si la totalité de ses conclusions était déclarée irrecevable.</w:t>
      </w:r>
    </w:p>
    <w:p>
      <w:r>
        <w:t>Les différentes prétentions de l'appelante étaient distinguées dans les conclusions de la demande; même si elles n'avaient pas déjà été aussi clairement séparées, leur division n'aurait pas été complexe. En outre, les faits n'ont pas à être dissociés, les mêmes circonstances étant pertinentes pour les deux actions cumulées; notamment, le juge de l'inscription définitive de l'hypothèque légale est censé examiner dans une certaine mesure l'existence de la créance de l'entrepreneur, à l'instar du juge de l'action en paiement. Les difficultés pratiques soulignées par le premier juge, liées à la dissociation des deux actions cumulées dans la demande ne sont donc pas pertinentes. En tout état, la présence d'allégués devenus cas échéant superflus n'est pas de nature à rendre impossible ou excessivement difficile la décision du juge. Si leur nombre devait se révéler excessif au point de compliquer exagérément la compréhension des faits – ce qui n'est pas le cas en l'espèce –, le juge pourra exiger que l'écriture soit expurgée des passages devenus prolixes (art. 132 al. 2 CPC).</w:t>
      </w:r>
    </w:p>
    <w:p>
      <w:r>
        <w:t>Finalement, contrairement à ce qu'a retenu le premier juge, en cas de traitement séparé des deux actions cumulées, aucun problème de compétence à raison du lieu ne se serait posé in casu : d'une part parce qu'il n'était pas contesté que les conclusions en paiement étaient en tout état irrecevables en l'absence de conciliation préalable; d'autre part parce que les juridictions genevoises étaient territorialement compétentes pour statuer tant sur l'action réelle (art. 29 CPC; au</w:t>
      </w:r>
    </w:p>
    <w:p>
      <w:r>
        <w:t>- 10/12 -</w:t>
      </w:r>
    </w:p>
    <w:p>
      <w:r>
        <w:t>C/29446/2019 lieu de situation de l'immeuble) que sur l'action en paiement (art. 31 al. 1 CPC; au siège de la partie fournissant la prestation contractuelle la plus caractéristique).</w:t>
      </w:r>
    </w:p>
    <w:p>
      <w:r>
        <w:t>Pour tous ces motifs, l'irrecevabilité étendue aux conclusions en inscription d'une hypothèque légale n'est pas conforme aux art. 59, 60 et 90 CPC et consacre en tout état un formalisme excessif. Seules les conclusions en paiement peuvent faire l'objet d'une telle sanction.</w:t>
      </w:r>
    </w:p>
    <w:p>
      <w:r>
        <w:t>Le chiffre 1 du dispositif du jugement attaqué sera dès lors annulé; cela fait, il sera statué à nouveau dans le sens que les chiffres 7 à 11 des conclusions de la demande concernant l'action en inscription définitive de l'hypothèque légale des artisans et entrepreneurs seront déclarés recevables. 4.</w:t>
      </w:r>
    </w:p>
    <w:p>
      <w:r>
        <w:rPr>
          <w:b/>
        </w:rPr>
        <w:t>E. 4</w:t>
      </w:r>
    </w:p>
    <w:p>
      <w:r>
        <w:t>novembre 2019 consid. 2). Il en va de même pour le cumul de l'action en inscription définitive de l'hypothèque légale des artisans et entrepreneurs – non soumise au préalable obligatoire de la conciliation (art. 198 let. h CPC) – avec l'action en paiement dirigée contre le maître de l'ouvrage par l'entrepreneur non soumise au préalable de la conciliation (arrêt du Tribunal fédéral 4A_368/2020 du</w:t>
      </w:r>
    </w:p>
    <w:p>
      <w:r>
        <w:rPr>
          <w:b/>
        </w:rPr>
        <w:t>E. 4.1</w:t>
      </w:r>
    </w:p>
    <w:p>
      <w:r>
        <w:t>Si l'instance d'appel statue à nouveau, elle se prononce sur les frais de la première instance (art. 318 al. 3 CPC).</w:t>
      </w:r>
    </w:p>
    <w:p>
      <w:r>
        <w:rPr>
          <w:b/>
        </w:rPr>
        <w:t>E. 4.2</w:t>
      </w:r>
    </w:p>
    <w:p>
      <w:r>
        <w:t>Compte tenu des conclusions initiales des parties en première instance, de la décision rendue par le premier juge, des conclusions limitées prises en appel, et de l'issue de ce dernier, les frais judiciaires de première instance seront maintenus à 2'500 fr., mais répartis entre les parties à raison d'une moitié chacune (art. 104, 106 al. 2 CPC). Ce montant sera compensé à due concurrence avec l'avance des frais de première instance versée par l'appelante (art. 111 al. 1 CPC). L'intimée sera condamnée à rembourser à l'appelante son avance des frais judiciaires à concurrence du montant de 1'250 fr., représentant la moitié des frais judiciaires de première instance (art. 111 al. 2 CPC)</w:t>
      </w:r>
    </w:p>
    <w:p>
      <w:r>
        <w:rPr>
          <w:b/>
        </w:rPr>
        <w:t>E. 4.3</w:t>
      </w:r>
    </w:p>
    <w:p>
      <w:r>
        <w:t>Il ne sera pas alloué de dépens de première instance pour le même motif (art. 106 al. 2 CPC). 5. 5.1 La Cour statue dans sa décision finale sur les frais, qui comprennent les frais judiciaires et les dépens (art. 95, 104, 105 CPC). 5.2 Les frais judiciaires d’appel seront fixés à 3'000 fr. (art. 96 CPC; art. 19 LACC; art. 5, 17 et 35 RTFMC) et mis à la charge de l'intimée qui succombe (art. 106 al. 1 CPC). Les frais ainsi arrêtés seront compensés à due concurrence avec l’avance de frais de 9'000 fr. versée par l’appelante, qui reste acquise à l’Etat de Genève dans cette mesure (art. 111 al. 1 CPC) et l'intimée sera condamnée à rembourser à l'appelante son avance des frais judiciaires à concurrence du montant de 3'000 fr. (art. 111 al. 2 CPC). Le solde de l'avance de frais versée par l'appelante en 6'000 fr. lui sera restitué.</w:t>
      </w:r>
    </w:p>
    <w:p>
      <w:r>
        <w:t>De même, les dépens d'appel seront mis à la charge de l'intimée et arrêtés à 3'000 fr., débours et TVA inclus (art. 106 al. 1 et 111 al. 2 CPC; art. 20, 23 et 25 LACC; art. 84, 85 et 87 ss RTFMC).</w:t>
      </w:r>
    </w:p>
    <w:p>
      <w:r>
        <w:t>- 11/12 -</w:t>
      </w:r>
    </w:p>
    <w:p>
      <w:r>
        <w:t>C/29446/2019 * * * * * PAR CES MOTIFS, La Chambre civile : A la forme : Déclare recevable l'appel interjeté par A______ SA contre les chiffres 1, en tant qu'il a déclaré la demande en inscription définitive de l'hypothèque légale irrecevable, et 2 à 7 du dispositif du jugement JTPI/12379/2020 rendu le 5 octobre 2020 par le Tribunal de première instance dans la cause C/29446/2019-10. Au fond : Annule les chiffres 1, en tant qu'il a déclaré la demande en inscription définitive de l'hypothèque légale irrecevable, et 2 à 7 dudit jugement, puis, statuant à nouveau : Déclare recevable la demande en inscription définitive d'inscription d'une hypothèque légale du 20 décembre 2019 de A______SA contre B______ (chiffres 8 à 11 des conclusions de la demande). Arrête les frais judiciaires de première instance relatifs à la décision sur la recevabilité de la demande à 2'500 fr., les met à la charge des parties à raison de la moitié chacune et les compense à due concurrence avec l'avance de frais versée par A______SA, laquelle est acquise à l'Etat de Genève à hauteur de ce montant. Condamne B______ SA à verser à A______SA la somme de 1'250 fr. à titre remboursement des frais judiciaires de première instance celle-ci a fait l'avance. Dit qu'il n'est pas alloué de dépens de première instance. Déboute les parties de toutes autres conclusions. Sur les frais : Arrête les frais judiciaires d'appel à 3'000 fr., les met à la charge de B______ et les compense à due concurrence avance l'avance de frais versée par A______SA, laquelle est acquise à l'Etat de Genève à hauteur de ce montant. Condamne B______ SA à verser à A______SA la somme de 3'000 fr. à titre remboursement des frais judiciaires d'appel.</w:t>
      </w:r>
    </w:p>
    <w:p>
      <w:r>
        <w:t>- 12/12 -</w:t>
      </w:r>
    </w:p>
    <w:p>
      <w:r>
        <w:t>C/29446/2019 Ordonne la restitution du solde d'avance de frais de 6'000 fr. à A______SA. Condamne B______ SA à verser à A______SA la somme de 3'000 fr. à titre de dépens d'appel. Siégeant : Madame Ursula ZEHETBAUER GHAVAMI, présidente; Madame Sylvie DROIN,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février 2021 consid. 2). Si un tel cumul se présente, deux solutions sont envisageables : le prononcé de l'irrecevabilité de l'entier de la demande ou le prononcé de l'irrecevabilité des conclusions qui n'ont pas été soumises à la conciliation et le jugement au fond des autres. Dans les divers arrêts du Tribunal fédéral cités ci-dessus, les deux cas de figure se sont présentés (dans les causes 4A_413/2012 et 4A_262/2018 précitées, l'irrecevabilité totale a été prononcée par les juridictions cantonales; dans les cause 4A_176/2019, 4A_213/2019 et 4A_368/2020 précitées, soit les plus récentes, les juridictions cantonales ont déclaré irrecevables les conclusions non soumises à conciliation et statué au fond sur les autres conclusions). Dans toutes ces affaires, le Tribunal fédéral a confirmé les décisions rendues par les autorités cantonales sur le fait que le cumul d'actions n'était pas un motif de dispense de tentative de conciliation et que la dispense de conciliation sur une partie des conclusions ne s'étendait pas aux conclusions qui auraient dû être soumises à la conciliation préalable obligatoire; en revanche, il n'a pas discuté la sanction à apporter à un tel cumul de prétentions. Le Tribunal fédéral a toutefois récemment jugé qu'un cumul d'actions contraire aux conditions de l'art. 90 CPC – en l'occurrence en raison de prétentions cumulées qui relevaient de la compétence matérielle de tribunaux différents – n'entraînait pas l'irrecevabilité complète de la demande en justice, mais uniquement l'irrecevabilité partielle des conclusions qui ne remplissaient pas les conditions du cumul devant la juridiction saisie. Prononcer l'irrecevabilité complète aurait consacré un formalisme excessif (arrêt du Tribunal fédéral 4A_522/2019 du 7 avril 2020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