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ACJC/1410/2014 vom 21. November 2014</w:t>
      </w:r>
    </w:p>
    <w:p>
      <w:r>
        <w:t>GE Cour de justice, 2014-11-21, FR</w:t>
      </w:r>
    </w:p>
    <w:p>
      <w:r>
        <w:rPr>
          <w:b/>
        </w:rPr>
        <w:t xml:space="preserve">Quelle: </w:t>
      </w:r>
      <w:r>
        <w:t>https://mcp.opencaselaw.ch/entscheid/ge_gerichte_ACJC_1410_2014</w:t>
      </w:r>
    </w:p>
    <w:p>
      <w:r>
        <w:t>FR: GE_GERICHTE ACJC/1410/2014 du 21 novembre 2014</w:t>
      </w:r>
    </w:p>
    <w:p>
      <w:r>
        <w:t>IT: GE_GERICHTE ACJC/1410/2014 del 21 novembre 2014</w:t>
      </w:r>
    </w:p>
    <w:p>
      <w:pPr>
        <w:pStyle w:val="Heading2"/>
      </w:pPr>
      <w:r>
        <w:t>Erwägungen</w:t>
      </w:r>
    </w:p>
    <w:p>
      <w:r>
        <w:rPr>
          <w:b/>
        </w:rPr>
        <w:t>E. 1.1</w:t>
      </w:r>
    </w:p>
    <w:p>
      <w:r>
        <w:t>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w:t>
      </w:r>
    </w:p>
    <w:p>
      <w:r>
        <w:t>A teneur de l'art. 321 al. 1 et 2 CPC, le recours, écrit et motivé, est introduit auprès de l'instance de recours, pour les décisions prises en procédure sommaire, dans le délai de dix jours à compter de la notification de la décision motivée.</w:t>
      </w:r>
    </w:p>
    <w:p>
      <w:r>
        <w:t>Le recours est recevable pour violation du droit et constatation manifestement inexacte des faits (art. 320 CPC).</w:t>
      </w:r>
    </w:p>
    <w:p>
      <w:r>
        <w:rPr>
          <w:b/>
        </w:rPr>
        <w:t>E. 1.2</w:t>
      </w:r>
    </w:p>
    <w:p>
      <w:r>
        <w:t>En l'espèce, le recours a été déposé dans le délai de dix jours suivant la notification de la décision attaquée, intervenue le 15 août 2014, date de réception de l'envoi postal.</w:t>
      </w:r>
    </w:p>
    <w:p>
      <w:r>
        <w:t>Dans la mesure où l'on comprend ce que le recourant conteste, il est satisfait aux exigences minimales en matière de motivation.</w:t>
      </w:r>
    </w:p>
    <w:p>
      <w:r>
        <w:t>Partant, le recours est recevable.</w:t>
      </w:r>
    </w:p>
    <w:p>
      <w:r>
        <w:rPr>
          <w:b/>
        </w:rPr>
        <w:t>E. 2</w:t>
      </w:r>
    </w:p>
    <w:p>
      <w:r>
        <w:t>Les conclusions, les allégations de faits et les preuves nouvelles sont irrecevables (art. 326 al. 1 CPC).</w:t>
      </w:r>
    </w:p>
    <w:p>
      <w:r>
        <w:t>Les pièces produites pour la première fois par la recourante devant la Cour sont irrecevables.</w:t>
      </w:r>
    </w:p>
    <w:p>
      <w:r>
        <w:rPr>
          <w:b/>
        </w:rPr>
        <w:t>E. 3.1</w:t>
      </w:r>
    </w:p>
    <w:p>
      <w:r>
        <w:t>Constitue une reconnaissance de dette, au sens de l'art. 82 al. 1 LP, l'acte authentique ou sous seing privé signé par le poursuivi - ou son représentant -, d'où ressort sa volonté de payer au poursuivant, sans réserve ni condition, une somme d'argent déterminée, ou aisément déterminable et échue (ATF 130 III 87 consid. 3.1).</w:t>
      </w:r>
    </w:p>
    <w:p>
      <w:r>
        <w:t>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Une reconnaissance de dette peut aussi résulter d'un ensemble de pièces. L'exemple classique est celui de la reconnaissance du prix par la signature du contrat de vente et une confirmation incontestable - en principe par signature - de la réception de la marchandise. Des factures ne valent pas reconnaissance de dette et ce, même si elles n'ont pas été contestées (arrêt du Tribunal fédéral 5P.290/2006 du 12 octobre 2006 consid. 3.3).</w:t>
      </w:r>
    </w:p>
    <w:p>
      <w:r>
        <w:t>- 4/5 -</w:t>
      </w:r>
    </w:p>
    <w:p>
      <w:r>
        <w:t>C/8216/2014</w:t>
      </w:r>
    </w:p>
    <w:p>
      <w:r>
        <w:t>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(arrêt du Tribunal fédéral 5A_367/2007 du 15 octobre 2007 consid. 3.1).</w:t>
      </w:r>
    </w:p>
    <w:p>
      <w:r>
        <w:rPr>
          <w:b/>
        </w:rPr>
        <w:t>E. 3.2</w:t>
      </w:r>
    </w:p>
    <w:p>
      <w:r>
        <w:t>En l'espèce, les pièces soumises au premier juge, soit exclusivement une liste des factures impayées, et lesdites factures ne comportant pas la signature de l'intimée, ne valent pas reconnaissance de dette au sens de la jurisprudence précitée. C'est ainsi à bon droit que le Tribunal a rejeté la requête de mainlevée provisoire de l'opposition.</w:t>
      </w:r>
    </w:p>
    <w:p>
      <w:r>
        <w:t>Le recours sera, partant, rejeté.</w:t>
      </w:r>
    </w:p>
    <w:p>
      <w:r>
        <w:rPr>
          <w:b/>
        </w:rPr>
        <w:t>E. 4</w:t>
      </w:r>
    </w:p>
    <w:p>
      <w:r>
        <w:t>La recourante, qui succombe, sera condamnée aux frais du recours conformément à l'art. 106 al. 1 CPC.</w:t>
      </w:r>
    </w:p>
    <w:p>
      <w:r>
        <w:t>En vertu de l'art. 61 al. 1 OELP, la juridiction supérieure à laquelle sont déférés les décisions rendues dans une procédure sommaire en matière de poursuites (art. 251 CPC) peut prélever un émolument n'excédant pas une fois et demie l'émolument que peut prélever l'autorité de première instance, selon l'art. 48 OELP.</w:t>
      </w:r>
    </w:p>
    <w:p>
      <w:r>
        <w:t>Partant, les frais du recours seront fixés à 600 fr., somme correspondant à l'avance fournie par la recourante, qui reste acquise à l'Etat par compensation (art. 111 al. 1 CPC).</w:t>
      </w:r>
    </w:p>
    <w:p>
      <w:r>
        <w:t>Il ne sera pas alloué de dépens à l'intimée, qui n'a pas répondu au recours. * * * * *</w:t>
      </w:r>
    </w:p>
    <w:p>
      <w:r>
        <w:t>- 5/5 -</w:t>
      </w:r>
    </w:p>
    <w:p>
      <w:r>
        <w:t>C/8216/2014 PAR CES MOTIFS, La Chambre civile : A la forme : Déclare recevable le recours interjeté par A______ contre le jugement JTPI/9520/2014 rendu le 29 juillet 2014 par le Tribunal de première instance dans la cause C/8216/2014-7 SML. Au fond : Le rejette. Déboute les parties de toutes autres conclusions. Sur les frais : Arrête les frais judiciaires du recours à 600 fr., couverts par l'avance déjà opérée, acquise à l'Etat de Genève. Les met à la charge de A______. Dit qu'il n'est pas alloué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