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ACJC/140/2019 vom 29. Januar 2019</w:t>
      </w:r>
    </w:p>
    <w:p>
      <w:r>
        <w:t>GE Cour de justice, 2019-01-29, FR</w:t>
      </w:r>
    </w:p>
    <w:p>
      <w:r>
        <w:rPr>
          <w:b/>
        </w:rPr>
        <w:t xml:space="preserve">Quelle: </w:t>
      </w:r>
      <w:r>
        <w:t>https://mcp.opencaselaw.ch/entscheid/ge_gerichte_ACJC_140_2019</w:t>
      </w:r>
    </w:p>
    <w:p>
      <w:r>
        <w:t>FR: GE_GERICHTE ACJC/140/2019 du 29 janvier 2019</w:t>
      </w:r>
    </w:p>
    <w:p>
      <w:r>
        <w:t>IT: GE_GERICHTE ACJC/140/2019 del 29 gennaio 2019</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w:t>
      </w:r>
    </w:p>
    <w:p>
      <w:r>
        <w:rPr>
          <w:b/>
        </w:rPr>
        <w:t>E. 2</w:t>
      </w:r>
    </w:p>
    <w:p>
      <w:r>
        <w:t>Les conclusions, les allégations de faits et les preuves nouvelles sont irrecevables (art. 326 al. 1 CPC). Partant, pour examiner si la loi a été violée, la Cour doit se</w:t>
      </w:r>
    </w:p>
    <w:p>
      <w:r>
        <w:t>- 4/6 -</w:t>
      </w:r>
    </w:p>
    <w:p>
      <w:r>
        <w:t>C/12936/2018 placer dans la situation où se trouvait le premier juge lorsque celui-ci a rendu la décision attaquée.</w:t>
      </w:r>
    </w:p>
    <w:p>
      <w:r>
        <w:t>Ainsi, les faits nouveaux allégués par la recourante ne sont pas recevables.</w:t>
      </w:r>
    </w:p>
    <w:p>
      <w:r>
        <w:rPr>
          <w:b/>
        </w:rPr>
        <w:t>E. 3</w:t>
      </w:r>
    </w:p>
    <w:p>
      <w:r>
        <w:t>La recourante fait grief au Tribunal d'avoir considéré que les pièces produites ne valaient pas reconnaissance de dette.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reconnaissance de dette peut découler du rapprochement de plusieurs pièces, pour autant que les éléments nécessaires en résultent (ATF 130 III 87 = SJ 2004 I 209 consid. 3.1; ATF 122 II 126 consid. 2).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(ABBET/VEUILLET, La mainlevée de l'opposition, 2017, p. 122, n. 47 et 48). Dans le cadre d'une procédure sommaire, le rôle du juge de la mainlevée n'est pas d'interpréter des contrats ou d'autres documents, mais d'accorder rapidement, après un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w:t>
      </w:r>
    </w:p>
    <w:p>
      <w:r>
        <w:rPr>
          <w:b/>
        </w:rPr>
        <w:t>E. 3.2</w:t>
      </w:r>
    </w:p>
    <w:p>
      <w:r>
        <w:t>En l'espèce, afin d'obtenir la mainlevée provisoire de l'opposition formée au commandement de payer - qui vise des cotisations à la caisse de prévoyance sociale et à l'assurance perte de gain, une contribution professionnelle, des frais de</w:t>
      </w:r>
    </w:p>
    <w:p>
      <w:r>
        <w:t>- 5/6 -</w:t>
      </w:r>
    </w:p>
    <w:p>
      <w:r>
        <w:t>C/12936/2018 contrôle CCT, une amende d'ordre, ainsi qu'une majoration statutaire - la recourante s'est bornée à déposer diverses pièces, sans fournir aucune explication. Elle n'indique même pas quelle est la convention collective de travail applicable. Seule la demande d'admission aux caisses de compensation ______ de Genève, porte la signature de l'intimée. Ce document ne permet pas, même rapproché aux autres pièces produites, de déterminer l'exactitude des montants déduits en poursuite. La volonté de l'intimée de payer l'un ou l'autre des montants en question ne ressort d'aucune des pièces produites. Dès lors, c'est à bon droit que le Tribunal a refusé de prononcer la mainlevée provisoire. Le recours sera donc rejeté.</w:t>
      </w:r>
    </w:p>
    <w:p>
      <w:r>
        <w:rPr>
          <w:b/>
        </w:rPr>
        <w:t>E. 4</w:t>
      </w:r>
    </w:p>
    <w:p>
      <w:r>
        <w:t>Les frais judiciaires du recours seront arrêtés à 300 fr. (art. 48 et 61 OELP) et mis à la charge de la recourante, qui succombe (art. 106 al. 1 CPC). Ils seront compensés avec l'avance effectuée, laquelle demeure acquise à l'Etat de Genève (art. 111 al. 1 CPC). Il ne sera pas alloué de dépens à l'intimée, qui n'a pas répondu au recours. * * * * *</w:t>
      </w:r>
    </w:p>
    <w:p>
      <w:r>
        <w:t>- 6/6 -</w:t>
      </w:r>
    </w:p>
    <w:p>
      <w:r>
        <w:t>C/12936/2018 PAR CES MOTIFS, La Chambre civile : A la forme : Déclare recevable le recours interjeté le 25 octobre 2018 par la CAISSE DE COMPENSATION A______ contre le jugement JTPI/15985/2018 rendu le 28 septembre 2018 par le Tribunal de première instance dans la cause C/12936/2018-20 SML. Au fond : Le rejette. Déboute les parties de toutes autres conclusions. Sur les frais : Arrête les frais judiciaires du recours à 300 fr., les met à la charge de la CAISSE DE COMPENSATION A______ et les compense avec l'avance effectuée, laquelle demeure acquise à l'Etat de Genève. Dit qu'il n'est pas alloué de dépens.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